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13A7" w14:textId="77777777" w:rsidR="005F79D8" w:rsidRDefault="005F79D8" w:rsidP="00E1205C">
      <w:pPr>
        <w:pStyle w:val="WTitle"/>
        <w:jc w:val="left"/>
      </w:pPr>
    </w:p>
    <w:p w14:paraId="1072C09E" w14:textId="77777777" w:rsidR="00C06FCB" w:rsidRDefault="00C06FCB"/>
    <w:p w14:paraId="1D5423CC" w14:textId="77777777" w:rsidR="00C06FCB" w:rsidRDefault="00C06FCB"/>
    <w:p w14:paraId="3FEE1E01" w14:textId="77777777" w:rsidR="00C06FCB" w:rsidRDefault="00C06FCB"/>
    <w:p w14:paraId="2D01DE7C" w14:textId="77777777" w:rsidR="00C06FCB" w:rsidRDefault="00C06FCB"/>
    <w:p w14:paraId="3BC117E2" w14:textId="77777777" w:rsidR="00C06FCB" w:rsidRDefault="00C06FCB"/>
    <w:p w14:paraId="79BE14F6" w14:textId="77777777" w:rsidR="00C06FCB" w:rsidRDefault="00C06FCB"/>
    <w:p w14:paraId="0C3715BC" w14:textId="77777777" w:rsidR="00C06FCB" w:rsidRDefault="00C06FCB"/>
    <w:p w14:paraId="38498438" w14:textId="77777777" w:rsidR="00C06FCB" w:rsidRDefault="00C06FCB"/>
    <w:p w14:paraId="776237A6" w14:textId="77777777" w:rsidR="009B61E5" w:rsidRDefault="009B61E5" w:rsidP="009B61E5"/>
    <w:p w14:paraId="0DFDDD4F" w14:textId="77777777" w:rsidR="009B61E5" w:rsidRPr="009B61E5" w:rsidRDefault="009B61E5" w:rsidP="009B61E5"/>
    <w:p w14:paraId="5F1FD8DE" w14:textId="77777777" w:rsidR="00B963BE" w:rsidRPr="00595F40" w:rsidRDefault="00B963BE" w:rsidP="00595F40">
      <w:pPr>
        <w:pStyle w:val="WTitle"/>
        <w:pBdr>
          <w:bottom w:val="single" w:sz="4" w:space="1" w:color="auto"/>
        </w:pBdr>
        <w:rPr>
          <w:b w:val="0"/>
        </w:rPr>
      </w:pPr>
      <w:r w:rsidRPr="00595F40">
        <w:rPr>
          <w:b w:val="0"/>
        </w:rPr>
        <w:t>INDIVIDUAL RETIREMENT ACCOUNTS</w:t>
      </w:r>
    </w:p>
    <w:p w14:paraId="63CFAD30" w14:textId="77777777" w:rsidR="00B963BE" w:rsidRDefault="00B963BE" w:rsidP="00BE502B">
      <w:pPr>
        <w:rPr>
          <w:b/>
          <w:szCs w:val="22"/>
        </w:rPr>
      </w:pPr>
    </w:p>
    <w:p w14:paraId="313403E6" w14:textId="77777777" w:rsidR="00B963BE" w:rsidRDefault="00B963BE" w:rsidP="00BE502B">
      <w:pPr>
        <w:rPr>
          <w:b/>
          <w:szCs w:val="22"/>
        </w:rPr>
      </w:pPr>
    </w:p>
    <w:p w14:paraId="338652E4" w14:textId="77777777" w:rsidR="00B963BE" w:rsidRDefault="00B963BE" w:rsidP="00BE502B">
      <w:pPr>
        <w:rPr>
          <w:szCs w:val="22"/>
        </w:rPr>
      </w:pPr>
    </w:p>
    <w:p w14:paraId="4326C17B" w14:textId="77777777" w:rsidR="00B963BE" w:rsidRPr="007229F0" w:rsidRDefault="009B61E5" w:rsidP="00B963BE">
      <w:pPr>
        <w:jc w:val="center"/>
        <w:rPr>
          <w:szCs w:val="22"/>
        </w:rPr>
      </w:pPr>
      <w:r>
        <w:rPr>
          <w:szCs w:val="22"/>
        </w:rPr>
        <w:br w:type="page"/>
      </w:r>
      <w:r w:rsidR="00B963BE" w:rsidRPr="007229F0">
        <w:rPr>
          <w:szCs w:val="22"/>
        </w:rPr>
        <w:lastRenderedPageBreak/>
        <w:t>Copyright 200</w:t>
      </w:r>
      <w:r w:rsidR="00B963BE">
        <w:rPr>
          <w:szCs w:val="22"/>
        </w:rPr>
        <w:t>3</w:t>
      </w:r>
      <w:r w:rsidR="00297ACB">
        <w:rPr>
          <w:szCs w:val="22"/>
        </w:rPr>
        <w:t>, 2006</w:t>
      </w:r>
      <w:r w:rsidR="00BE246D">
        <w:rPr>
          <w:szCs w:val="22"/>
        </w:rPr>
        <w:t>, 2010</w:t>
      </w:r>
      <w:r w:rsidR="00837F7D">
        <w:rPr>
          <w:szCs w:val="22"/>
        </w:rPr>
        <w:t>, 2014</w:t>
      </w:r>
      <w:r w:rsidR="00B963BE" w:rsidRPr="007229F0">
        <w:rPr>
          <w:szCs w:val="22"/>
        </w:rPr>
        <w:t xml:space="preserve"> by Paul J. Winn CLU ChFC</w:t>
      </w:r>
    </w:p>
    <w:p w14:paraId="40D95E8E" w14:textId="77777777" w:rsidR="00B963BE" w:rsidRDefault="00B963BE" w:rsidP="00BE502B">
      <w:pPr>
        <w:rPr>
          <w:i/>
          <w:iCs/>
          <w:szCs w:val="22"/>
        </w:rPr>
      </w:pPr>
    </w:p>
    <w:p w14:paraId="6E0D4360" w14:textId="77777777" w:rsidR="00B963BE" w:rsidRPr="007229F0" w:rsidRDefault="00B963BE" w:rsidP="00B963BE">
      <w:pPr>
        <w:jc w:val="center"/>
        <w:rPr>
          <w:szCs w:val="22"/>
        </w:rPr>
      </w:pPr>
      <w:r w:rsidRPr="007229F0">
        <w:rPr>
          <w:i/>
          <w:iCs/>
          <w:szCs w:val="22"/>
        </w:rPr>
        <w:t>ALL RIGHTS RESERVED.</w:t>
      </w:r>
      <w:r w:rsidRPr="007229F0">
        <w:rPr>
          <w:szCs w:val="22"/>
        </w:rPr>
        <w:t xml:space="preserve"> THIS BOOK OR ANY PART THEREOF MAY NOT BE REPRODUCED IN ANY FORM OR BY ANY MEANS WITHOUT THE WRITTEN PERMISSION OF THE PUBLISHER.</w:t>
      </w:r>
    </w:p>
    <w:p w14:paraId="0DDEB942" w14:textId="77777777" w:rsidR="00B963BE" w:rsidRDefault="00B963BE" w:rsidP="00BE502B">
      <w:pPr>
        <w:rPr>
          <w:szCs w:val="22"/>
        </w:rPr>
      </w:pPr>
    </w:p>
    <w:p w14:paraId="3475C45C" w14:textId="77777777" w:rsidR="00B963BE" w:rsidRDefault="00B963BE" w:rsidP="00B963BE">
      <w:pPr>
        <w:rPr>
          <w:szCs w:val="22"/>
        </w:rPr>
      </w:pPr>
      <w:r w:rsidRPr="007229F0">
        <w:rPr>
          <w:szCs w:val="22"/>
        </w:rPr>
        <w:t>All course materials relating to this course are copyrighted by Paul J. Winn CLU ChFC. Purchase of a course includes a license for one person to use the course materials. Absent specific written permission from the copyright holder, it is not permissible to distribute files containing course materials or printed versions of course materials to individuals who have not purchased the courses. It is also not permissible to make the course materials available to others over a computer network, Intranet, Internet, or any other storage, transmittal, or retrieval system.</w:t>
      </w:r>
      <w:r>
        <w:rPr>
          <w:szCs w:val="22"/>
        </w:rPr>
        <w:t xml:space="preserve"> </w:t>
      </w:r>
      <w:r w:rsidRPr="007229F0">
        <w:rPr>
          <w:szCs w:val="22"/>
        </w:rPr>
        <w:t>This document is designed to provide general information</w:t>
      </w:r>
      <w:r>
        <w:rPr>
          <w:szCs w:val="22"/>
        </w:rPr>
        <w:t>.</w:t>
      </w:r>
      <w:r w:rsidRPr="007229F0">
        <w:rPr>
          <w:szCs w:val="22"/>
        </w:rPr>
        <w:t xml:space="preserve"> It is not a substitute for professional advice in specific situations. This publication is not intended to be, and should not be construed as, legal or accounting advice which should be provided only by professional advisers.</w:t>
      </w:r>
    </w:p>
    <w:p w14:paraId="24FADDC8" w14:textId="77777777" w:rsidR="00BE502B" w:rsidRDefault="00BE502B" w:rsidP="00BE502B">
      <w:pPr>
        <w:autoSpaceDE w:val="0"/>
        <w:autoSpaceDN w:val="0"/>
        <w:adjustRightInd w:val="0"/>
        <w:spacing w:after="0"/>
        <w:rPr>
          <w:szCs w:val="22"/>
        </w:rPr>
      </w:pPr>
    </w:p>
    <w:p w14:paraId="471B0BC3" w14:textId="77777777" w:rsidR="00BB1F7B" w:rsidRDefault="00BB1F7B" w:rsidP="005F79D8">
      <w:pPr>
        <w:autoSpaceDE w:val="0"/>
        <w:autoSpaceDN w:val="0"/>
        <w:adjustRightInd w:val="0"/>
        <w:jc w:val="center"/>
        <w:rPr>
          <w:szCs w:val="22"/>
        </w:rPr>
      </w:pPr>
      <w:r w:rsidRPr="00BB1F7B">
        <w:rPr>
          <w:szCs w:val="22"/>
        </w:rPr>
        <w:t>Paul J. Winn CLU ChFC</w:t>
      </w:r>
      <w:r w:rsidR="005F79D8">
        <w:rPr>
          <w:szCs w:val="22"/>
        </w:rPr>
        <w:br/>
      </w:r>
      <w:r w:rsidRPr="00BB1F7B">
        <w:rPr>
          <w:szCs w:val="22"/>
        </w:rPr>
        <w:t>101 Justice Grice</w:t>
      </w:r>
      <w:r w:rsidR="005F79D8">
        <w:rPr>
          <w:szCs w:val="22"/>
        </w:rPr>
        <w:br/>
      </w:r>
      <w:r w:rsidRPr="00BB1F7B">
        <w:rPr>
          <w:szCs w:val="22"/>
        </w:rPr>
        <w:t>Williamsburg, VA</w:t>
      </w:r>
      <w:r w:rsidR="00297ACB">
        <w:rPr>
          <w:szCs w:val="22"/>
        </w:rPr>
        <w:t xml:space="preserve"> </w:t>
      </w:r>
      <w:r w:rsidRPr="00BB1F7B">
        <w:rPr>
          <w:szCs w:val="22"/>
        </w:rPr>
        <w:t>23185</w:t>
      </w:r>
      <w:r w:rsidR="005F79D8">
        <w:rPr>
          <w:szCs w:val="22"/>
        </w:rPr>
        <w:br/>
      </w:r>
      <w:r w:rsidRPr="00BB1F7B">
        <w:rPr>
          <w:szCs w:val="22"/>
        </w:rPr>
        <w:t>(757) 253-8075</w:t>
      </w:r>
      <w:r w:rsidR="005F79D8">
        <w:rPr>
          <w:szCs w:val="22"/>
        </w:rPr>
        <w:br/>
      </w:r>
      <w:r w:rsidR="00D97D95">
        <w:rPr>
          <w:szCs w:val="22"/>
        </w:rPr>
        <w:t>E</w:t>
      </w:r>
      <w:r w:rsidR="00871990">
        <w:rPr>
          <w:szCs w:val="22"/>
        </w:rPr>
        <w:t xml:space="preserve">mail: </w:t>
      </w:r>
      <w:r w:rsidR="0010617F" w:rsidRPr="0010617F">
        <w:t>pjwinn@verizon.net</w:t>
      </w:r>
    </w:p>
    <w:p w14:paraId="739F03F7" w14:textId="77777777" w:rsidR="00B963BE" w:rsidRDefault="00B963BE" w:rsidP="00BB1F7B">
      <w:pPr>
        <w:jc w:val="center"/>
        <w:rPr>
          <w:szCs w:val="22"/>
        </w:rPr>
      </w:pPr>
    </w:p>
    <w:p w14:paraId="3668098D" w14:textId="77777777" w:rsidR="00B963BE" w:rsidRPr="007229F0" w:rsidRDefault="00B963BE" w:rsidP="00B963BE">
      <w:pPr>
        <w:jc w:val="center"/>
        <w:rPr>
          <w:szCs w:val="22"/>
        </w:rPr>
      </w:pPr>
    </w:p>
    <w:p w14:paraId="50433293" w14:textId="77777777" w:rsidR="00B963BE" w:rsidRPr="00571A3F" w:rsidRDefault="00B963BE" w:rsidP="00B963BE">
      <w:pPr>
        <w:jc w:val="center"/>
        <w:rPr>
          <w:rFonts w:ascii="InternationalRisk" w:hAnsi="InternationalRisk"/>
          <w:sz w:val="96"/>
        </w:rPr>
        <w:sectPr w:rsidR="00B963BE" w:rsidRPr="00571A3F" w:rsidSect="00297ACB">
          <w:pgSz w:w="12240" w:h="15840" w:code="1"/>
          <w:pgMar w:top="2160" w:right="1440" w:bottom="1440" w:left="1800" w:header="720" w:footer="720" w:gutter="0"/>
          <w:pgNumType w:fmt="lowerRoman"/>
          <w:cols w:space="720"/>
          <w:titlePg/>
          <w:docGrid w:linePitch="299"/>
        </w:sectPr>
      </w:pPr>
    </w:p>
    <w:p w14:paraId="3CF80EC3" w14:textId="77777777" w:rsidR="00B963BE" w:rsidRDefault="00B963BE" w:rsidP="00B963BE">
      <w:pPr>
        <w:pStyle w:val="ContentsCourseTitle"/>
        <w:spacing w:after="0"/>
        <w:rPr>
          <w:sz w:val="26"/>
        </w:rPr>
      </w:pPr>
      <w:r>
        <w:lastRenderedPageBreak/>
        <w:t>Individual Retirement Accounts</w:t>
      </w:r>
    </w:p>
    <w:p w14:paraId="135B351F" w14:textId="77777777" w:rsidR="00B963BE" w:rsidRDefault="00B963BE" w:rsidP="00B963BE">
      <w:pPr>
        <w:pStyle w:val="ContentsTitle"/>
        <w:spacing w:after="0"/>
      </w:pPr>
      <w:r>
        <w:t>Contents</w:t>
      </w:r>
    </w:p>
    <w:p w14:paraId="2D11976B" w14:textId="77777777" w:rsidR="002B7633" w:rsidRDefault="00105EFD">
      <w:pPr>
        <w:pStyle w:val="TOC1"/>
        <w:tabs>
          <w:tab w:val="right" w:leader="dot" w:pos="8990"/>
        </w:tabs>
        <w:rPr>
          <w:rFonts w:asciiTheme="minorHAnsi" w:eastAsiaTheme="minorEastAsia" w:hAnsiTheme="minorHAnsi" w:cstheme="minorBidi"/>
          <w:b w:val="0"/>
          <w:noProof/>
          <w:sz w:val="22"/>
          <w:szCs w:val="22"/>
        </w:rPr>
      </w:pPr>
      <w:r>
        <w:rPr>
          <w:noProof/>
        </w:rPr>
        <w:pict w14:anchorId="03040683">
          <v:line id="_x0000_s1026" alt="" style="position:absolute;z-index:251657728;mso-wrap-edited:f;mso-width-percent:0;mso-height-percent:0;mso-width-percent:0;mso-height-percent:0" from="1.05pt,1.25pt" to="454.65pt,1.25pt" strokeweight="2.25pt"/>
        </w:pict>
      </w:r>
      <w:r w:rsidR="00A95039">
        <w:rPr>
          <w:szCs w:val="22"/>
        </w:rPr>
        <w:fldChar w:fldCharType="begin"/>
      </w:r>
      <w:r w:rsidR="00096E2A">
        <w:rPr>
          <w:szCs w:val="22"/>
        </w:rPr>
        <w:instrText xml:space="preserve"> TOC \o "1-5" \h \z \u </w:instrText>
      </w:r>
      <w:r w:rsidR="00A95039">
        <w:rPr>
          <w:szCs w:val="22"/>
        </w:rPr>
        <w:fldChar w:fldCharType="separate"/>
      </w:r>
      <w:hyperlink w:anchor="_Toc404357130" w:history="1">
        <w:r w:rsidR="002B7633" w:rsidRPr="005B2AED">
          <w:rPr>
            <w:rStyle w:val="Hyperlink"/>
            <w:noProof/>
          </w:rPr>
          <w:t>About This Course</w:t>
        </w:r>
        <w:r w:rsidR="002B7633">
          <w:rPr>
            <w:noProof/>
            <w:webHidden/>
          </w:rPr>
          <w:tab/>
        </w:r>
        <w:r w:rsidR="00A95039">
          <w:rPr>
            <w:noProof/>
            <w:webHidden/>
          </w:rPr>
          <w:fldChar w:fldCharType="begin"/>
        </w:r>
        <w:r w:rsidR="002B7633">
          <w:rPr>
            <w:noProof/>
            <w:webHidden/>
          </w:rPr>
          <w:instrText xml:space="preserve"> PAGEREF _Toc404357130 \h </w:instrText>
        </w:r>
        <w:r w:rsidR="00A95039">
          <w:rPr>
            <w:noProof/>
            <w:webHidden/>
          </w:rPr>
        </w:r>
        <w:r w:rsidR="00A95039">
          <w:rPr>
            <w:noProof/>
            <w:webHidden/>
          </w:rPr>
          <w:fldChar w:fldCharType="separate"/>
        </w:r>
        <w:r w:rsidR="002B7633">
          <w:rPr>
            <w:noProof/>
            <w:webHidden/>
          </w:rPr>
          <w:t>1</w:t>
        </w:r>
        <w:r w:rsidR="00A95039">
          <w:rPr>
            <w:noProof/>
            <w:webHidden/>
          </w:rPr>
          <w:fldChar w:fldCharType="end"/>
        </w:r>
      </w:hyperlink>
    </w:p>
    <w:p w14:paraId="16EA9D58"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1" w:history="1">
        <w:r w:rsidR="002B7633" w:rsidRPr="005B2AED">
          <w:rPr>
            <w:rStyle w:val="Hyperlink"/>
            <w:noProof/>
          </w:rPr>
          <w:t>Learning Objectives</w:t>
        </w:r>
        <w:r w:rsidR="002B7633">
          <w:rPr>
            <w:noProof/>
            <w:webHidden/>
          </w:rPr>
          <w:tab/>
        </w:r>
        <w:r w:rsidR="00A95039">
          <w:rPr>
            <w:noProof/>
            <w:webHidden/>
          </w:rPr>
          <w:fldChar w:fldCharType="begin"/>
        </w:r>
        <w:r w:rsidR="002B7633">
          <w:rPr>
            <w:noProof/>
            <w:webHidden/>
          </w:rPr>
          <w:instrText xml:space="preserve"> PAGEREF _Toc404357131 \h </w:instrText>
        </w:r>
        <w:r w:rsidR="00A95039">
          <w:rPr>
            <w:noProof/>
            <w:webHidden/>
          </w:rPr>
        </w:r>
        <w:r w:rsidR="00A95039">
          <w:rPr>
            <w:noProof/>
            <w:webHidden/>
          </w:rPr>
          <w:fldChar w:fldCharType="separate"/>
        </w:r>
        <w:r w:rsidR="002B7633">
          <w:rPr>
            <w:noProof/>
            <w:webHidden/>
          </w:rPr>
          <w:t>1</w:t>
        </w:r>
        <w:r w:rsidR="00A95039">
          <w:rPr>
            <w:noProof/>
            <w:webHidden/>
          </w:rPr>
          <w:fldChar w:fldCharType="end"/>
        </w:r>
      </w:hyperlink>
    </w:p>
    <w:p w14:paraId="41A2F8A8"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2" w:history="1">
        <w:r w:rsidR="002B7633" w:rsidRPr="005B2AED">
          <w:rPr>
            <w:rStyle w:val="Hyperlink"/>
            <w:noProof/>
          </w:rPr>
          <w:t>How You Will Learn</w:t>
        </w:r>
        <w:r w:rsidR="002B7633">
          <w:rPr>
            <w:noProof/>
            <w:webHidden/>
          </w:rPr>
          <w:tab/>
        </w:r>
        <w:r w:rsidR="00A95039">
          <w:rPr>
            <w:noProof/>
            <w:webHidden/>
          </w:rPr>
          <w:fldChar w:fldCharType="begin"/>
        </w:r>
        <w:r w:rsidR="002B7633">
          <w:rPr>
            <w:noProof/>
            <w:webHidden/>
          </w:rPr>
          <w:instrText xml:space="preserve"> PAGEREF _Toc404357132 \h </w:instrText>
        </w:r>
        <w:r w:rsidR="00A95039">
          <w:rPr>
            <w:noProof/>
            <w:webHidden/>
          </w:rPr>
        </w:r>
        <w:r w:rsidR="00A95039">
          <w:rPr>
            <w:noProof/>
            <w:webHidden/>
          </w:rPr>
          <w:fldChar w:fldCharType="separate"/>
        </w:r>
        <w:r w:rsidR="002B7633">
          <w:rPr>
            <w:noProof/>
            <w:webHidden/>
          </w:rPr>
          <w:t>1</w:t>
        </w:r>
        <w:r w:rsidR="00A95039">
          <w:rPr>
            <w:noProof/>
            <w:webHidden/>
          </w:rPr>
          <w:fldChar w:fldCharType="end"/>
        </w:r>
      </w:hyperlink>
    </w:p>
    <w:p w14:paraId="242A2E0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3" w:history="1">
        <w:r w:rsidR="002B7633" w:rsidRPr="005B2AED">
          <w:rPr>
            <w:rStyle w:val="Hyperlink"/>
            <w:noProof/>
          </w:rPr>
          <w:t>Why This Information is Important and How You Can Use It</w:t>
        </w:r>
        <w:r w:rsidR="002B7633">
          <w:rPr>
            <w:noProof/>
            <w:webHidden/>
          </w:rPr>
          <w:tab/>
        </w:r>
        <w:r w:rsidR="00A95039">
          <w:rPr>
            <w:noProof/>
            <w:webHidden/>
          </w:rPr>
          <w:fldChar w:fldCharType="begin"/>
        </w:r>
        <w:r w:rsidR="002B7633">
          <w:rPr>
            <w:noProof/>
            <w:webHidden/>
          </w:rPr>
          <w:instrText xml:space="preserve"> PAGEREF _Toc404357133 \h </w:instrText>
        </w:r>
        <w:r w:rsidR="00A95039">
          <w:rPr>
            <w:noProof/>
            <w:webHidden/>
          </w:rPr>
        </w:r>
        <w:r w:rsidR="00A95039">
          <w:rPr>
            <w:noProof/>
            <w:webHidden/>
          </w:rPr>
          <w:fldChar w:fldCharType="separate"/>
        </w:r>
        <w:r w:rsidR="002B7633">
          <w:rPr>
            <w:noProof/>
            <w:webHidden/>
          </w:rPr>
          <w:t>1</w:t>
        </w:r>
        <w:r w:rsidR="00A95039">
          <w:rPr>
            <w:noProof/>
            <w:webHidden/>
          </w:rPr>
          <w:fldChar w:fldCharType="end"/>
        </w:r>
      </w:hyperlink>
    </w:p>
    <w:p w14:paraId="0133C890"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134" w:history="1">
        <w:r w:rsidR="002B7633" w:rsidRPr="005B2AED">
          <w:rPr>
            <w:rStyle w:val="Hyperlink"/>
            <w:noProof/>
          </w:rPr>
          <w:t>Chapter 1 Traditional Individual Retirement Accounts</w:t>
        </w:r>
        <w:r w:rsidR="002B7633">
          <w:rPr>
            <w:noProof/>
            <w:webHidden/>
          </w:rPr>
          <w:tab/>
        </w:r>
        <w:r w:rsidR="00A95039">
          <w:rPr>
            <w:noProof/>
            <w:webHidden/>
          </w:rPr>
          <w:fldChar w:fldCharType="begin"/>
        </w:r>
        <w:r w:rsidR="002B7633">
          <w:rPr>
            <w:noProof/>
            <w:webHidden/>
          </w:rPr>
          <w:instrText xml:space="preserve"> PAGEREF _Toc404357134 \h </w:instrText>
        </w:r>
        <w:r w:rsidR="00A95039">
          <w:rPr>
            <w:noProof/>
            <w:webHidden/>
          </w:rPr>
        </w:r>
        <w:r w:rsidR="00A95039">
          <w:rPr>
            <w:noProof/>
            <w:webHidden/>
          </w:rPr>
          <w:fldChar w:fldCharType="separate"/>
        </w:r>
        <w:r w:rsidR="002B7633">
          <w:rPr>
            <w:noProof/>
            <w:webHidden/>
          </w:rPr>
          <w:t>2</w:t>
        </w:r>
        <w:r w:rsidR="00A95039">
          <w:rPr>
            <w:noProof/>
            <w:webHidden/>
          </w:rPr>
          <w:fldChar w:fldCharType="end"/>
        </w:r>
      </w:hyperlink>
    </w:p>
    <w:p w14:paraId="3AA1FAE1"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5"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_Toc404357135 \h </w:instrText>
        </w:r>
        <w:r w:rsidR="00A95039">
          <w:rPr>
            <w:noProof/>
            <w:webHidden/>
          </w:rPr>
        </w:r>
        <w:r w:rsidR="00A95039">
          <w:rPr>
            <w:noProof/>
            <w:webHidden/>
          </w:rPr>
          <w:fldChar w:fldCharType="separate"/>
        </w:r>
        <w:r w:rsidR="002B7633">
          <w:rPr>
            <w:noProof/>
            <w:webHidden/>
          </w:rPr>
          <w:t>2</w:t>
        </w:r>
        <w:r w:rsidR="00A95039">
          <w:rPr>
            <w:noProof/>
            <w:webHidden/>
          </w:rPr>
          <w:fldChar w:fldCharType="end"/>
        </w:r>
      </w:hyperlink>
    </w:p>
    <w:p w14:paraId="732256EA"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6"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_Toc404357136 \h </w:instrText>
        </w:r>
        <w:r w:rsidR="00A95039">
          <w:rPr>
            <w:noProof/>
            <w:webHidden/>
          </w:rPr>
        </w:r>
        <w:r w:rsidR="00A95039">
          <w:rPr>
            <w:noProof/>
            <w:webHidden/>
          </w:rPr>
          <w:fldChar w:fldCharType="separate"/>
        </w:r>
        <w:r w:rsidR="002B7633">
          <w:rPr>
            <w:noProof/>
            <w:webHidden/>
          </w:rPr>
          <w:t>3</w:t>
        </w:r>
        <w:r w:rsidR="00A95039">
          <w:rPr>
            <w:noProof/>
            <w:webHidden/>
          </w:rPr>
          <w:fldChar w:fldCharType="end"/>
        </w:r>
      </w:hyperlink>
    </w:p>
    <w:p w14:paraId="076D37C3"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7" w:history="1">
        <w:r w:rsidR="002B7633" w:rsidRPr="005B2AED">
          <w:rPr>
            <w:rStyle w:val="Hyperlink"/>
            <w:noProof/>
          </w:rPr>
          <w:t>Background, Definition &amp; Eligibility</w:t>
        </w:r>
        <w:r w:rsidR="002B7633">
          <w:rPr>
            <w:noProof/>
            <w:webHidden/>
          </w:rPr>
          <w:tab/>
        </w:r>
        <w:r w:rsidR="00A95039">
          <w:rPr>
            <w:noProof/>
            <w:webHidden/>
          </w:rPr>
          <w:fldChar w:fldCharType="begin"/>
        </w:r>
        <w:r w:rsidR="002B7633">
          <w:rPr>
            <w:noProof/>
            <w:webHidden/>
          </w:rPr>
          <w:instrText xml:space="preserve"> PAGEREF _Toc404357137 \h </w:instrText>
        </w:r>
        <w:r w:rsidR="00A95039">
          <w:rPr>
            <w:noProof/>
            <w:webHidden/>
          </w:rPr>
        </w:r>
        <w:r w:rsidR="00A95039">
          <w:rPr>
            <w:noProof/>
            <w:webHidden/>
          </w:rPr>
          <w:fldChar w:fldCharType="separate"/>
        </w:r>
        <w:r w:rsidR="002B7633">
          <w:rPr>
            <w:noProof/>
            <w:webHidden/>
          </w:rPr>
          <w:t>3</w:t>
        </w:r>
        <w:r w:rsidR="00A95039">
          <w:rPr>
            <w:noProof/>
            <w:webHidden/>
          </w:rPr>
          <w:fldChar w:fldCharType="end"/>
        </w:r>
      </w:hyperlink>
    </w:p>
    <w:p w14:paraId="0400E4EC"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38" w:history="1">
        <w:r w:rsidR="002B7633" w:rsidRPr="005B2AED">
          <w:rPr>
            <w:rStyle w:val="Hyperlink"/>
            <w:noProof/>
          </w:rPr>
          <w:t>Traditional IRA Rules</w:t>
        </w:r>
        <w:r w:rsidR="002B7633">
          <w:rPr>
            <w:noProof/>
            <w:webHidden/>
          </w:rPr>
          <w:tab/>
        </w:r>
        <w:r w:rsidR="00A95039">
          <w:rPr>
            <w:noProof/>
            <w:webHidden/>
          </w:rPr>
          <w:fldChar w:fldCharType="begin"/>
        </w:r>
        <w:r w:rsidR="002B7633">
          <w:rPr>
            <w:noProof/>
            <w:webHidden/>
          </w:rPr>
          <w:instrText xml:space="preserve"> PAGEREF _Toc404357138 \h </w:instrText>
        </w:r>
        <w:r w:rsidR="00A95039">
          <w:rPr>
            <w:noProof/>
            <w:webHidden/>
          </w:rPr>
        </w:r>
        <w:r w:rsidR="00A95039">
          <w:rPr>
            <w:noProof/>
            <w:webHidden/>
          </w:rPr>
          <w:fldChar w:fldCharType="separate"/>
        </w:r>
        <w:r w:rsidR="002B7633">
          <w:rPr>
            <w:noProof/>
            <w:webHidden/>
          </w:rPr>
          <w:t>4</w:t>
        </w:r>
        <w:r w:rsidR="00A95039">
          <w:rPr>
            <w:noProof/>
            <w:webHidden/>
          </w:rPr>
          <w:fldChar w:fldCharType="end"/>
        </w:r>
      </w:hyperlink>
    </w:p>
    <w:p w14:paraId="315AE43D" w14:textId="77777777" w:rsidR="002B7633" w:rsidRDefault="00000000">
      <w:pPr>
        <w:pStyle w:val="TOC3"/>
        <w:tabs>
          <w:tab w:val="right" w:leader="dot" w:pos="8990"/>
        </w:tabs>
        <w:rPr>
          <w:rFonts w:asciiTheme="minorHAnsi" w:eastAsiaTheme="minorEastAsia" w:hAnsiTheme="minorHAnsi" w:cstheme="minorBidi"/>
          <w:noProof/>
        </w:rPr>
      </w:pPr>
      <w:hyperlink w:anchor="_Toc404357139" w:history="1">
        <w:r w:rsidR="002B7633" w:rsidRPr="005B2AED">
          <w:rPr>
            <w:rStyle w:val="Hyperlink"/>
            <w:noProof/>
          </w:rPr>
          <w:t>Earned Income</w:t>
        </w:r>
        <w:r w:rsidR="002B7633">
          <w:rPr>
            <w:noProof/>
            <w:webHidden/>
          </w:rPr>
          <w:tab/>
        </w:r>
        <w:r w:rsidR="00A95039">
          <w:rPr>
            <w:noProof/>
            <w:webHidden/>
          </w:rPr>
          <w:fldChar w:fldCharType="begin"/>
        </w:r>
        <w:r w:rsidR="002B7633">
          <w:rPr>
            <w:noProof/>
            <w:webHidden/>
          </w:rPr>
          <w:instrText xml:space="preserve"> PAGEREF _Toc404357139 \h </w:instrText>
        </w:r>
        <w:r w:rsidR="00A95039">
          <w:rPr>
            <w:noProof/>
            <w:webHidden/>
          </w:rPr>
        </w:r>
        <w:r w:rsidR="00A95039">
          <w:rPr>
            <w:noProof/>
            <w:webHidden/>
          </w:rPr>
          <w:fldChar w:fldCharType="separate"/>
        </w:r>
        <w:r w:rsidR="002B7633">
          <w:rPr>
            <w:noProof/>
            <w:webHidden/>
          </w:rPr>
          <w:t>4</w:t>
        </w:r>
        <w:r w:rsidR="00A95039">
          <w:rPr>
            <w:noProof/>
            <w:webHidden/>
          </w:rPr>
          <w:fldChar w:fldCharType="end"/>
        </w:r>
      </w:hyperlink>
    </w:p>
    <w:p w14:paraId="06F2BBF9"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40" w:history="1">
        <w:r w:rsidR="002B7633" w:rsidRPr="005B2AED">
          <w:rPr>
            <w:rStyle w:val="Hyperlink"/>
            <w:noProof/>
          </w:rPr>
          <w:t>Limits on Contributions</w:t>
        </w:r>
        <w:r w:rsidR="002B7633">
          <w:rPr>
            <w:noProof/>
            <w:webHidden/>
          </w:rPr>
          <w:tab/>
        </w:r>
        <w:r w:rsidR="00A95039">
          <w:rPr>
            <w:noProof/>
            <w:webHidden/>
          </w:rPr>
          <w:fldChar w:fldCharType="begin"/>
        </w:r>
        <w:r w:rsidR="002B7633">
          <w:rPr>
            <w:noProof/>
            <w:webHidden/>
          </w:rPr>
          <w:instrText xml:space="preserve"> PAGEREF _Toc404357140 \h </w:instrText>
        </w:r>
        <w:r w:rsidR="00A95039">
          <w:rPr>
            <w:noProof/>
            <w:webHidden/>
          </w:rPr>
        </w:r>
        <w:r w:rsidR="00A95039">
          <w:rPr>
            <w:noProof/>
            <w:webHidden/>
          </w:rPr>
          <w:fldChar w:fldCharType="separate"/>
        </w:r>
        <w:r w:rsidR="002B7633">
          <w:rPr>
            <w:noProof/>
            <w:webHidden/>
          </w:rPr>
          <w:t>5</w:t>
        </w:r>
        <w:r w:rsidR="00A95039">
          <w:rPr>
            <w:noProof/>
            <w:webHidden/>
          </w:rPr>
          <w:fldChar w:fldCharType="end"/>
        </w:r>
      </w:hyperlink>
    </w:p>
    <w:p w14:paraId="292201B2" w14:textId="77777777" w:rsidR="002B7633" w:rsidRDefault="00000000">
      <w:pPr>
        <w:pStyle w:val="TOC3"/>
        <w:tabs>
          <w:tab w:val="right" w:leader="dot" w:pos="8990"/>
        </w:tabs>
        <w:rPr>
          <w:rFonts w:asciiTheme="minorHAnsi" w:eastAsiaTheme="minorEastAsia" w:hAnsiTheme="minorHAnsi" w:cstheme="minorBidi"/>
          <w:noProof/>
        </w:rPr>
      </w:pPr>
      <w:hyperlink w:anchor="_Toc404357141" w:history="1">
        <w:r w:rsidR="002B7633" w:rsidRPr="005B2AED">
          <w:rPr>
            <w:rStyle w:val="Hyperlink"/>
            <w:noProof/>
          </w:rPr>
          <w:t>Maximum Annual Contributions</w:t>
        </w:r>
        <w:r w:rsidR="002B7633">
          <w:rPr>
            <w:noProof/>
            <w:webHidden/>
          </w:rPr>
          <w:tab/>
        </w:r>
        <w:r w:rsidR="00A95039">
          <w:rPr>
            <w:noProof/>
            <w:webHidden/>
          </w:rPr>
          <w:fldChar w:fldCharType="begin"/>
        </w:r>
        <w:r w:rsidR="002B7633">
          <w:rPr>
            <w:noProof/>
            <w:webHidden/>
          </w:rPr>
          <w:instrText xml:space="preserve"> PAGEREF _Toc404357141 \h </w:instrText>
        </w:r>
        <w:r w:rsidR="00A95039">
          <w:rPr>
            <w:noProof/>
            <w:webHidden/>
          </w:rPr>
        </w:r>
        <w:r w:rsidR="00A95039">
          <w:rPr>
            <w:noProof/>
            <w:webHidden/>
          </w:rPr>
          <w:fldChar w:fldCharType="separate"/>
        </w:r>
        <w:r w:rsidR="002B7633">
          <w:rPr>
            <w:noProof/>
            <w:webHidden/>
          </w:rPr>
          <w:t>5</w:t>
        </w:r>
        <w:r w:rsidR="00A95039">
          <w:rPr>
            <w:noProof/>
            <w:webHidden/>
          </w:rPr>
          <w:fldChar w:fldCharType="end"/>
        </w:r>
      </w:hyperlink>
    </w:p>
    <w:p w14:paraId="18A7D30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42" w:history="1">
        <w:r w:rsidR="002B7633" w:rsidRPr="005B2AED">
          <w:rPr>
            <w:rStyle w:val="Hyperlink"/>
            <w:noProof/>
          </w:rPr>
          <w:t>Traditional IRA Tax Considerations</w:t>
        </w:r>
        <w:r w:rsidR="002B7633">
          <w:rPr>
            <w:noProof/>
            <w:webHidden/>
          </w:rPr>
          <w:tab/>
        </w:r>
        <w:r w:rsidR="00A95039">
          <w:rPr>
            <w:noProof/>
            <w:webHidden/>
          </w:rPr>
          <w:fldChar w:fldCharType="begin"/>
        </w:r>
        <w:r w:rsidR="002B7633">
          <w:rPr>
            <w:noProof/>
            <w:webHidden/>
          </w:rPr>
          <w:instrText xml:space="preserve"> PAGEREF _Toc404357142 \h </w:instrText>
        </w:r>
        <w:r w:rsidR="00A95039">
          <w:rPr>
            <w:noProof/>
            <w:webHidden/>
          </w:rPr>
        </w:r>
        <w:r w:rsidR="00A95039">
          <w:rPr>
            <w:noProof/>
            <w:webHidden/>
          </w:rPr>
          <w:fldChar w:fldCharType="separate"/>
        </w:r>
        <w:r w:rsidR="002B7633">
          <w:rPr>
            <w:noProof/>
            <w:webHidden/>
          </w:rPr>
          <w:t>6</w:t>
        </w:r>
        <w:r w:rsidR="00A95039">
          <w:rPr>
            <w:noProof/>
            <w:webHidden/>
          </w:rPr>
          <w:fldChar w:fldCharType="end"/>
        </w:r>
      </w:hyperlink>
    </w:p>
    <w:p w14:paraId="795739FC" w14:textId="77777777" w:rsidR="002B7633" w:rsidRDefault="00000000">
      <w:pPr>
        <w:pStyle w:val="TOC3"/>
        <w:tabs>
          <w:tab w:val="right" w:leader="dot" w:pos="8990"/>
        </w:tabs>
        <w:rPr>
          <w:rFonts w:asciiTheme="minorHAnsi" w:eastAsiaTheme="minorEastAsia" w:hAnsiTheme="minorHAnsi" w:cstheme="minorBidi"/>
          <w:noProof/>
        </w:rPr>
      </w:pPr>
      <w:hyperlink w:anchor="_Toc404357143" w:history="1">
        <w:r w:rsidR="002B7633" w:rsidRPr="005B2AED">
          <w:rPr>
            <w:rStyle w:val="Hyperlink"/>
            <w:noProof/>
          </w:rPr>
          <w:t>Traditional IRA Tax Considerations—Contributions</w:t>
        </w:r>
        <w:r w:rsidR="002B7633">
          <w:rPr>
            <w:noProof/>
            <w:webHidden/>
          </w:rPr>
          <w:tab/>
        </w:r>
        <w:r w:rsidR="00A95039">
          <w:rPr>
            <w:noProof/>
            <w:webHidden/>
          </w:rPr>
          <w:fldChar w:fldCharType="begin"/>
        </w:r>
        <w:r w:rsidR="002B7633">
          <w:rPr>
            <w:noProof/>
            <w:webHidden/>
          </w:rPr>
          <w:instrText xml:space="preserve"> PAGEREF _Toc404357143 \h </w:instrText>
        </w:r>
        <w:r w:rsidR="00A95039">
          <w:rPr>
            <w:noProof/>
            <w:webHidden/>
          </w:rPr>
        </w:r>
        <w:r w:rsidR="00A95039">
          <w:rPr>
            <w:noProof/>
            <w:webHidden/>
          </w:rPr>
          <w:fldChar w:fldCharType="separate"/>
        </w:r>
        <w:r w:rsidR="002B7633">
          <w:rPr>
            <w:noProof/>
            <w:webHidden/>
          </w:rPr>
          <w:t>6</w:t>
        </w:r>
        <w:r w:rsidR="00A95039">
          <w:rPr>
            <w:noProof/>
            <w:webHidden/>
          </w:rPr>
          <w:fldChar w:fldCharType="end"/>
        </w:r>
      </w:hyperlink>
    </w:p>
    <w:p w14:paraId="22586A37"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44" w:history="1">
        <w:r w:rsidR="002B7633" w:rsidRPr="005B2AED">
          <w:rPr>
            <w:rStyle w:val="Hyperlink"/>
            <w:noProof/>
          </w:rPr>
          <w:t>Tax Treatment of Contributions by Active Participants</w:t>
        </w:r>
        <w:r w:rsidR="002B7633">
          <w:rPr>
            <w:noProof/>
            <w:webHidden/>
          </w:rPr>
          <w:tab/>
        </w:r>
        <w:r w:rsidR="00A95039">
          <w:rPr>
            <w:noProof/>
            <w:webHidden/>
          </w:rPr>
          <w:fldChar w:fldCharType="begin"/>
        </w:r>
        <w:r w:rsidR="002B7633">
          <w:rPr>
            <w:noProof/>
            <w:webHidden/>
          </w:rPr>
          <w:instrText xml:space="preserve"> PAGEREF _Toc404357144 \h </w:instrText>
        </w:r>
        <w:r w:rsidR="00A95039">
          <w:rPr>
            <w:noProof/>
            <w:webHidden/>
          </w:rPr>
        </w:r>
        <w:r w:rsidR="00A95039">
          <w:rPr>
            <w:noProof/>
            <w:webHidden/>
          </w:rPr>
          <w:fldChar w:fldCharType="separate"/>
        </w:r>
        <w:r w:rsidR="002B7633">
          <w:rPr>
            <w:noProof/>
            <w:webHidden/>
          </w:rPr>
          <w:t>7</w:t>
        </w:r>
        <w:r w:rsidR="00A95039">
          <w:rPr>
            <w:noProof/>
            <w:webHidden/>
          </w:rPr>
          <w:fldChar w:fldCharType="end"/>
        </w:r>
      </w:hyperlink>
    </w:p>
    <w:p w14:paraId="34EF8896"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45" w:history="1">
        <w:r w:rsidR="002B7633" w:rsidRPr="005B2AED">
          <w:rPr>
            <w:rStyle w:val="Hyperlink"/>
            <w:noProof/>
          </w:rPr>
          <w:t>Tax Credits</w:t>
        </w:r>
        <w:r w:rsidR="002B7633">
          <w:rPr>
            <w:noProof/>
            <w:webHidden/>
          </w:rPr>
          <w:tab/>
        </w:r>
        <w:r w:rsidR="00A95039">
          <w:rPr>
            <w:noProof/>
            <w:webHidden/>
          </w:rPr>
          <w:fldChar w:fldCharType="begin"/>
        </w:r>
        <w:r w:rsidR="002B7633">
          <w:rPr>
            <w:noProof/>
            <w:webHidden/>
          </w:rPr>
          <w:instrText xml:space="preserve"> PAGEREF _Toc404357145 \h </w:instrText>
        </w:r>
        <w:r w:rsidR="00A95039">
          <w:rPr>
            <w:noProof/>
            <w:webHidden/>
          </w:rPr>
        </w:r>
        <w:r w:rsidR="00A95039">
          <w:rPr>
            <w:noProof/>
            <w:webHidden/>
          </w:rPr>
          <w:fldChar w:fldCharType="separate"/>
        </w:r>
        <w:r w:rsidR="002B7633">
          <w:rPr>
            <w:noProof/>
            <w:webHidden/>
          </w:rPr>
          <w:t>10</w:t>
        </w:r>
        <w:r w:rsidR="00A95039">
          <w:rPr>
            <w:noProof/>
            <w:webHidden/>
          </w:rPr>
          <w:fldChar w:fldCharType="end"/>
        </w:r>
      </w:hyperlink>
    </w:p>
    <w:p w14:paraId="6457BCB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46"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_Toc404357146 \h </w:instrText>
        </w:r>
        <w:r w:rsidR="00A95039">
          <w:rPr>
            <w:noProof/>
            <w:webHidden/>
          </w:rPr>
        </w:r>
        <w:r w:rsidR="00A95039">
          <w:rPr>
            <w:noProof/>
            <w:webHidden/>
          </w:rPr>
          <w:fldChar w:fldCharType="separate"/>
        </w:r>
        <w:r w:rsidR="002B7633">
          <w:rPr>
            <w:noProof/>
            <w:webHidden/>
          </w:rPr>
          <w:t>10</w:t>
        </w:r>
        <w:r w:rsidR="00A95039">
          <w:rPr>
            <w:noProof/>
            <w:webHidden/>
          </w:rPr>
          <w:fldChar w:fldCharType="end"/>
        </w:r>
      </w:hyperlink>
    </w:p>
    <w:p w14:paraId="14EF39E8"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47" w:history="1">
        <w:r w:rsidR="002B7633" w:rsidRPr="005B2AED">
          <w:rPr>
            <w:rStyle w:val="Hyperlink"/>
            <w:noProof/>
          </w:rPr>
          <w:t>Review Quiz #1</w:t>
        </w:r>
        <w:r w:rsidR="002B7633">
          <w:rPr>
            <w:noProof/>
            <w:webHidden/>
          </w:rPr>
          <w:tab/>
        </w:r>
        <w:r w:rsidR="00A95039">
          <w:rPr>
            <w:noProof/>
            <w:webHidden/>
          </w:rPr>
          <w:fldChar w:fldCharType="begin"/>
        </w:r>
        <w:r w:rsidR="002B7633">
          <w:rPr>
            <w:noProof/>
            <w:webHidden/>
          </w:rPr>
          <w:instrText xml:space="preserve"> PAGEREF _Toc404357147 \h </w:instrText>
        </w:r>
        <w:r w:rsidR="00A95039">
          <w:rPr>
            <w:noProof/>
            <w:webHidden/>
          </w:rPr>
        </w:r>
        <w:r w:rsidR="00A95039">
          <w:rPr>
            <w:noProof/>
            <w:webHidden/>
          </w:rPr>
          <w:fldChar w:fldCharType="separate"/>
        </w:r>
        <w:r w:rsidR="002B7633">
          <w:rPr>
            <w:noProof/>
            <w:webHidden/>
          </w:rPr>
          <w:t>11</w:t>
        </w:r>
        <w:r w:rsidR="00A95039">
          <w:rPr>
            <w:noProof/>
            <w:webHidden/>
          </w:rPr>
          <w:fldChar w:fldCharType="end"/>
        </w:r>
      </w:hyperlink>
    </w:p>
    <w:p w14:paraId="388D3E11" w14:textId="77777777" w:rsidR="002B7633" w:rsidRDefault="00000000">
      <w:pPr>
        <w:pStyle w:val="TOC3"/>
        <w:tabs>
          <w:tab w:val="right" w:leader="dot" w:pos="8990"/>
        </w:tabs>
        <w:rPr>
          <w:rFonts w:asciiTheme="minorHAnsi" w:eastAsiaTheme="minorEastAsia" w:hAnsiTheme="minorHAnsi" w:cstheme="minorBidi"/>
          <w:noProof/>
        </w:rPr>
      </w:pPr>
      <w:hyperlink w:anchor="_Toc404357148" w:history="1">
        <w:r w:rsidR="002B7633" w:rsidRPr="005B2AED">
          <w:rPr>
            <w:rStyle w:val="Hyperlink"/>
            <w:noProof/>
          </w:rPr>
          <w:t>Traditional IRA Tax Considerations—Accumulations</w:t>
        </w:r>
        <w:r w:rsidR="002B7633">
          <w:rPr>
            <w:noProof/>
            <w:webHidden/>
          </w:rPr>
          <w:tab/>
        </w:r>
        <w:r w:rsidR="00A95039">
          <w:rPr>
            <w:noProof/>
            <w:webHidden/>
          </w:rPr>
          <w:fldChar w:fldCharType="begin"/>
        </w:r>
        <w:r w:rsidR="002B7633">
          <w:rPr>
            <w:noProof/>
            <w:webHidden/>
          </w:rPr>
          <w:instrText xml:space="preserve"> PAGEREF _Toc404357148 \h </w:instrText>
        </w:r>
        <w:r w:rsidR="00A95039">
          <w:rPr>
            <w:noProof/>
            <w:webHidden/>
          </w:rPr>
        </w:r>
        <w:r w:rsidR="00A95039">
          <w:rPr>
            <w:noProof/>
            <w:webHidden/>
          </w:rPr>
          <w:fldChar w:fldCharType="separate"/>
        </w:r>
        <w:r w:rsidR="002B7633">
          <w:rPr>
            <w:noProof/>
            <w:webHidden/>
          </w:rPr>
          <w:t>11</w:t>
        </w:r>
        <w:r w:rsidR="00A95039">
          <w:rPr>
            <w:noProof/>
            <w:webHidden/>
          </w:rPr>
          <w:fldChar w:fldCharType="end"/>
        </w:r>
      </w:hyperlink>
    </w:p>
    <w:p w14:paraId="1D92E247" w14:textId="77777777" w:rsidR="002B7633" w:rsidRDefault="00000000">
      <w:pPr>
        <w:pStyle w:val="TOC3"/>
        <w:tabs>
          <w:tab w:val="right" w:leader="dot" w:pos="8990"/>
        </w:tabs>
        <w:rPr>
          <w:rFonts w:asciiTheme="minorHAnsi" w:eastAsiaTheme="minorEastAsia" w:hAnsiTheme="minorHAnsi" w:cstheme="minorBidi"/>
          <w:noProof/>
        </w:rPr>
      </w:pPr>
      <w:hyperlink w:anchor="_Toc404357149" w:history="1">
        <w:r w:rsidR="002B7633" w:rsidRPr="005B2AED">
          <w:rPr>
            <w:rStyle w:val="Hyperlink"/>
            <w:noProof/>
          </w:rPr>
          <w:t>Traditional IRA Tax Considerations—Rollovers</w:t>
        </w:r>
        <w:r w:rsidR="002B7633">
          <w:rPr>
            <w:noProof/>
            <w:webHidden/>
          </w:rPr>
          <w:tab/>
        </w:r>
        <w:r w:rsidR="00A95039">
          <w:rPr>
            <w:noProof/>
            <w:webHidden/>
          </w:rPr>
          <w:fldChar w:fldCharType="begin"/>
        </w:r>
        <w:r w:rsidR="002B7633">
          <w:rPr>
            <w:noProof/>
            <w:webHidden/>
          </w:rPr>
          <w:instrText xml:space="preserve"> PAGEREF _Toc404357149 \h </w:instrText>
        </w:r>
        <w:r w:rsidR="00A95039">
          <w:rPr>
            <w:noProof/>
            <w:webHidden/>
          </w:rPr>
        </w:r>
        <w:r w:rsidR="00A95039">
          <w:rPr>
            <w:noProof/>
            <w:webHidden/>
          </w:rPr>
          <w:fldChar w:fldCharType="separate"/>
        </w:r>
        <w:r w:rsidR="002B7633">
          <w:rPr>
            <w:noProof/>
            <w:webHidden/>
          </w:rPr>
          <w:t>13</w:t>
        </w:r>
        <w:r w:rsidR="00A95039">
          <w:rPr>
            <w:noProof/>
            <w:webHidden/>
          </w:rPr>
          <w:fldChar w:fldCharType="end"/>
        </w:r>
      </w:hyperlink>
    </w:p>
    <w:p w14:paraId="26FF77F0"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0" w:history="1">
        <w:r w:rsidR="002B7633" w:rsidRPr="005B2AED">
          <w:rPr>
            <w:rStyle w:val="Hyperlink"/>
            <w:noProof/>
          </w:rPr>
          <w:t>Eligible Rollover Distributions</w:t>
        </w:r>
        <w:r w:rsidR="002B7633">
          <w:rPr>
            <w:noProof/>
            <w:webHidden/>
          </w:rPr>
          <w:tab/>
        </w:r>
        <w:r w:rsidR="00A95039">
          <w:rPr>
            <w:noProof/>
            <w:webHidden/>
          </w:rPr>
          <w:fldChar w:fldCharType="begin"/>
        </w:r>
        <w:r w:rsidR="002B7633">
          <w:rPr>
            <w:noProof/>
            <w:webHidden/>
          </w:rPr>
          <w:instrText xml:space="preserve"> PAGEREF _Toc404357150 \h </w:instrText>
        </w:r>
        <w:r w:rsidR="00A95039">
          <w:rPr>
            <w:noProof/>
            <w:webHidden/>
          </w:rPr>
        </w:r>
        <w:r w:rsidR="00A95039">
          <w:rPr>
            <w:noProof/>
            <w:webHidden/>
          </w:rPr>
          <w:fldChar w:fldCharType="separate"/>
        </w:r>
        <w:r w:rsidR="002B7633">
          <w:rPr>
            <w:noProof/>
            <w:webHidden/>
          </w:rPr>
          <w:t>14</w:t>
        </w:r>
        <w:r w:rsidR="00A95039">
          <w:rPr>
            <w:noProof/>
            <w:webHidden/>
          </w:rPr>
          <w:fldChar w:fldCharType="end"/>
        </w:r>
      </w:hyperlink>
    </w:p>
    <w:p w14:paraId="31A90A3B"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1" w:history="1">
        <w:r w:rsidR="002B7633" w:rsidRPr="005B2AED">
          <w:rPr>
            <w:rStyle w:val="Hyperlink"/>
            <w:noProof/>
          </w:rPr>
          <w:t>Distributions Ineligible for Rollover</w:t>
        </w:r>
        <w:r w:rsidR="002B7633">
          <w:rPr>
            <w:noProof/>
            <w:webHidden/>
          </w:rPr>
          <w:tab/>
        </w:r>
        <w:r w:rsidR="00A95039">
          <w:rPr>
            <w:noProof/>
            <w:webHidden/>
          </w:rPr>
          <w:fldChar w:fldCharType="begin"/>
        </w:r>
        <w:r w:rsidR="002B7633">
          <w:rPr>
            <w:noProof/>
            <w:webHidden/>
          </w:rPr>
          <w:instrText xml:space="preserve"> PAGEREF _Toc404357151 \h </w:instrText>
        </w:r>
        <w:r w:rsidR="00A95039">
          <w:rPr>
            <w:noProof/>
            <w:webHidden/>
          </w:rPr>
        </w:r>
        <w:r w:rsidR="00A95039">
          <w:rPr>
            <w:noProof/>
            <w:webHidden/>
          </w:rPr>
          <w:fldChar w:fldCharType="separate"/>
        </w:r>
        <w:r w:rsidR="002B7633">
          <w:rPr>
            <w:noProof/>
            <w:webHidden/>
          </w:rPr>
          <w:t>15</w:t>
        </w:r>
        <w:r w:rsidR="00A95039">
          <w:rPr>
            <w:noProof/>
            <w:webHidden/>
          </w:rPr>
          <w:fldChar w:fldCharType="end"/>
        </w:r>
      </w:hyperlink>
    </w:p>
    <w:p w14:paraId="3CFA3D52"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2" w:history="1">
        <w:r w:rsidR="002B7633" w:rsidRPr="005B2AED">
          <w:rPr>
            <w:rStyle w:val="Hyperlink"/>
            <w:noProof/>
          </w:rPr>
          <w:t>Direct and Indirect Rollovers</w:t>
        </w:r>
        <w:r w:rsidR="002B7633">
          <w:rPr>
            <w:noProof/>
            <w:webHidden/>
          </w:rPr>
          <w:tab/>
        </w:r>
        <w:r w:rsidR="00A95039">
          <w:rPr>
            <w:noProof/>
            <w:webHidden/>
          </w:rPr>
          <w:fldChar w:fldCharType="begin"/>
        </w:r>
        <w:r w:rsidR="002B7633">
          <w:rPr>
            <w:noProof/>
            <w:webHidden/>
          </w:rPr>
          <w:instrText xml:space="preserve"> PAGEREF _Toc404357152 \h </w:instrText>
        </w:r>
        <w:r w:rsidR="00A95039">
          <w:rPr>
            <w:noProof/>
            <w:webHidden/>
          </w:rPr>
        </w:r>
        <w:r w:rsidR="00A95039">
          <w:rPr>
            <w:noProof/>
            <w:webHidden/>
          </w:rPr>
          <w:fldChar w:fldCharType="separate"/>
        </w:r>
        <w:r w:rsidR="002B7633">
          <w:rPr>
            <w:noProof/>
            <w:webHidden/>
          </w:rPr>
          <w:t>15</w:t>
        </w:r>
        <w:r w:rsidR="00A95039">
          <w:rPr>
            <w:noProof/>
            <w:webHidden/>
          </w:rPr>
          <w:fldChar w:fldCharType="end"/>
        </w:r>
      </w:hyperlink>
    </w:p>
    <w:p w14:paraId="670F3BFE" w14:textId="77777777" w:rsidR="002B7633" w:rsidRDefault="00000000">
      <w:pPr>
        <w:pStyle w:val="TOC5"/>
        <w:tabs>
          <w:tab w:val="right" w:leader="dot" w:pos="8990"/>
        </w:tabs>
        <w:rPr>
          <w:rFonts w:asciiTheme="minorHAnsi" w:eastAsiaTheme="minorEastAsia" w:hAnsiTheme="minorHAnsi" w:cstheme="minorBidi"/>
          <w:noProof/>
          <w:szCs w:val="22"/>
        </w:rPr>
      </w:pPr>
      <w:hyperlink w:anchor="_Toc404357153" w:history="1">
        <w:r w:rsidR="002B7633" w:rsidRPr="005B2AED">
          <w:rPr>
            <w:rStyle w:val="Hyperlink"/>
            <w:noProof/>
          </w:rPr>
          <w:t>Mandatory Withholding</w:t>
        </w:r>
        <w:r w:rsidR="002B7633">
          <w:rPr>
            <w:noProof/>
            <w:webHidden/>
          </w:rPr>
          <w:tab/>
        </w:r>
        <w:r w:rsidR="00A95039">
          <w:rPr>
            <w:noProof/>
            <w:webHidden/>
          </w:rPr>
          <w:fldChar w:fldCharType="begin"/>
        </w:r>
        <w:r w:rsidR="002B7633">
          <w:rPr>
            <w:noProof/>
            <w:webHidden/>
          </w:rPr>
          <w:instrText xml:space="preserve"> PAGEREF _Toc404357153 \h </w:instrText>
        </w:r>
        <w:r w:rsidR="00A95039">
          <w:rPr>
            <w:noProof/>
            <w:webHidden/>
          </w:rPr>
        </w:r>
        <w:r w:rsidR="00A95039">
          <w:rPr>
            <w:noProof/>
            <w:webHidden/>
          </w:rPr>
          <w:fldChar w:fldCharType="separate"/>
        </w:r>
        <w:r w:rsidR="002B7633">
          <w:rPr>
            <w:noProof/>
            <w:webHidden/>
          </w:rPr>
          <w:t>16</w:t>
        </w:r>
        <w:r w:rsidR="00A95039">
          <w:rPr>
            <w:noProof/>
            <w:webHidden/>
          </w:rPr>
          <w:fldChar w:fldCharType="end"/>
        </w:r>
      </w:hyperlink>
    </w:p>
    <w:p w14:paraId="4E7D6ADF"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4" w:history="1">
        <w:r w:rsidR="002B7633" w:rsidRPr="005B2AED">
          <w:rPr>
            <w:rStyle w:val="Hyperlink"/>
            <w:noProof/>
          </w:rPr>
          <w:t>Avoiding Rollover Withholding</w:t>
        </w:r>
        <w:r w:rsidR="002B7633">
          <w:rPr>
            <w:noProof/>
            <w:webHidden/>
          </w:rPr>
          <w:tab/>
        </w:r>
        <w:r w:rsidR="00A95039">
          <w:rPr>
            <w:noProof/>
            <w:webHidden/>
          </w:rPr>
          <w:fldChar w:fldCharType="begin"/>
        </w:r>
        <w:r w:rsidR="002B7633">
          <w:rPr>
            <w:noProof/>
            <w:webHidden/>
          </w:rPr>
          <w:instrText xml:space="preserve"> PAGEREF _Toc404357154 \h </w:instrText>
        </w:r>
        <w:r w:rsidR="00A95039">
          <w:rPr>
            <w:noProof/>
            <w:webHidden/>
          </w:rPr>
        </w:r>
        <w:r w:rsidR="00A95039">
          <w:rPr>
            <w:noProof/>
            <w:webHidden/>
          </w:rPr>
          <w:fldChar w:fldCharType="separate"/>
        </w:r>
        <w:r w:rsidR="002B7633">
          <w:rPr>
            <w:noProof/>
            <w:webHidden/>
          </w:rPr>
          <w:t>17</w:t>
        </w:r>
        <w:r w:rsidR="00A95039">
          <w:rPr>
            <w:noProof/>
            <w:webHidden/>
          </w:rPr>
          <w:fldChar w:fldCharType="end"/>
        </w:r>
      </w:hyperlink>
    </w:p>
    <w:p w14:paraId="3C79C08F"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5" w:history="1">
        <w:r w:rsidR="002B7633" w:rsidRPr="005B2AED">
          <w:rPr>
            <w:rStyle w:val="Hyperlink"/>
            <w:noProof/>
          </w:rPr>
          <w:t>Indirect Rollovers Subject to Timing and Frequency Limitations</w:t>
        </w:r>
        <w:r w:rsidR="002B7633">
          <w:rPr>
            <w:noProof/>
            <w:webHidden/>
          </w:rPr>
          <w:tab/>
        </w:r>
        <w:r w:rsidR="00A95039">
          <w:rPr>
            <w:noProof/>
            <w:webHidden/>
          </w:rPr>
          <w:fldChar w:fldCharType="begin"/>
        </w:r>
        <w:r w:rsidR="002B7633">
          <w:rPr>
            <w:noProof/>
            <w:webHidden/>
          </w:rPr>
          <w:instrText xml:space="preserve"> PAGEREF _Toc404357155 \h </w:instrText>
        </w:r>
        <w:r w:rsidR="00A95039">
          <w:rPr>
            <w:noProof/>
            <w:webHidden/>
          </w:rPr>
        </w:r>
        <w:r w:rsidR="00A95039">
          <w:rPr>
            <w:noProof/>
            <w:webHidden/>
          </w:rPr>
          <w:fldChar w:fldCharType="separate"/>
        </w:r>
        <w:r w:rsidR="002B7633">
          <w:rPr>
            <w:noProof/>
            <w:webHidden/>
          </w:rPr>
          <w:t>17</w:t>
        </w:r>
        <w:r w:rsidR="00A95039">
          <w:rPr>
            <w:noProof/>
            <w:webHidden/>
          </w:rPr>
          <w:fldChar w:fldCharType="end"/>
        </w:r>
      </w:hyperlink>
    </w:p>
    <w:p w14:paraId="25DCF5BC"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56" w:history="1">
        <w:r w:rsidR="002B7633" w:rsidRPr="005B2AED">
          <w:rPr>
            <w:rStyle w:val="Hyperlink"/>
            <w:noProof/>
          </w:rPr>
          <w:t>EGTRRA Permits Rollover of After-Tax Contributions</w:t>
        </w:r>
        <w:r w:rsidR="002B7633">
          <w:rPr>
            <w:noProof/>
            <w:webHidden/>
          </w:rPr>
          <w:tab/>
        </w:r>
        <w:r w:rsidR="00A95039">
          <w:rPr>
            <w:noProof/>
            <w:webHidden/>
          </w:rPr>
          <w:fldChar w:fldCharType="begin"/>
        </w:r>
        <w:r w:rsidR="002B7633">
          <w:rPr>
            <w:noProof/>
            <w:webHidden/>
          </w:rPr>
          <w:instrText xml:space="preserve"> PAGEREF _Toc404357156 \h </w:instrText>
        </w:r>
        <w:r w:rsidR="00A95039">
          <w:rPr>
            <w:noProof/>
            <w:webHidden/>
          </w:rPr>
        </w:r>
        <w:r w:rsidR="00A95039">
          <w:rPr>
            <w:noProof/>
            <w:webHidden/>
          </w:rPr>
          <w:fldChar w:fldCharType="separate"/>
        </w:r>
        <w:r w:rsidR="002B7633">
          <w:rPr>
            <w:noProof/>
            <w:webHidden/>
          </w:rPr>
          <w:t>17</w:t>
        </w:r>
        <w:r w:rsidR="00A95039">
          <w:rPr>
            <w:noProof/>
            <w:webHidden/>
          </w:rPr>
          <w:fldChar w:fldCharType="end"/>
        </w:r>
      </w:hyperlink>
    </w:p>
    <w:p w14:paraId="28CBE139"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57"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_Toc404357157 \h </w:instrText>
        </w:r>
        <w:r w:rsidR="00A95039">
          <w:rPr>
            <w:noProof/>
            <w:webHidden/>
          </w:rPr>
        </w:r>
        <w:r w:rsidR="00A95039">
          <w:rPr>
            <w:noProof/>
            <w:webHidden/>
          </w:rPr>
          <w:fldChar w:fldCharType="separate"/>
        </w:r>
        <w:r w:rsidR="002B7633">
          <w:rPr>
            <w:noProof/>
            <w:webHidden/>
          </w:rPr>
          <w:t>18</w:t>
        </w:r>
        <w:r w:rsidR="00A95039">
          <w:rPr>
            <w:noProof/>
            <w:webHidden/>
          </w:rPr>
          <w:fldChar w:fldCharType="end"/>
        </w:r>
      </w:hyperlink>
    </w:p>
    <w:p w14:paraId="308C1CD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58" w:history="1">
        <w:r w:rsidR="002B7633" w:rsidRPr="005B2AED">
          <w:rPr>
            <w:rStyle w:val="Hyperlink"/>
            <w:noProof/>
          </w:rPr>
          <w:t>Review Quiz #2</w:t>
        </w:r>
        <w:r w:rsidR="002B7633">
          <w:rPr>
            <w:noProof/>
            <w:webHidden/>
          </w:rPr>
          <w:tab/>
        </w:r>
        <w:r w:rsidR="00A95039">
          <w:rPr>
            <w:noProof/>
            <w:webHidden/>
          </w:rPr>
          <w:fldChar w:fldCharType="begin"/>
        </w:r>
        <w:r w:rsidR="002B7633">
          <w:rPr>
            <w:noProof/>
            <w:webHidden/>
          </w:rPr>
          <w:instrText xml:space="preserve"> PAGEREF _Toc404357158 \h </w:instrText>
        </w:r>
        <w:r w:rsidR="00A95039">
          <w:rPr>
            <w:noProof/>
            <w:webHidden/>
          </w:rPr>
        </w:r>
        <w:r w:rsidR="00A95039">
          <w:rPr>
            <w:noProof/>
            <w:webHidden/>
          </w:rPr>
          <w:fldChar w:fldCharType="separate"/>
        </w:r>
        <w:r w:rsidR="002B7633">
          <w:rPr>
            <w:noProof/>
            <w:webHidden/>
          </w:rPr>
          <w:t>18</w:t>
        </w:r>
        <w:r w:rsidR="00A95039">
          <w:rPr>
            <w:noProof/>
            <w:webHidden/>
          </w:rPr>
          <w:fldChar w:fldCharType="end"/>
        </w:r>
      </w:hyperlink>
    </w:p>
    <w:p w14:paraId="0A3AB1AF"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59" w:history="1">
        <w:r w:rsidR="002B7633" w:rsidRPr="005B2AED">
          <w:rPr>
            <w:rStyle w:val="Hyperlink"/>
            <w:noProof/>
          </w:rPr>
          <w:t>Distribution</w:t>
        </w:r>
        <w:r w:rsidR="002B7633">
          <w:rPr>
            <w:noProof/>
            <w:webHidden/>
          </w:rPr>
          <w:tab/>
        </w:r>
        <w:r w:rsidR="00A95039">
          <w:rPr>
            <w:noProof/>
            <w:webHidden/>
          </w:rPr>
          <w:fldChar w:fldCharType="begin"/>
        </w:r>
        <w:r w:rsidR="002B7633">
          <w:rPr>
            <w:noProof/>
            <w:webHidden/>
          </w:rPr>
          <w:instrText xml:space="preserve"> PAGEREF _Toc404357159 \h </w:instrText>
        </w:r>
        <w:r w:rsidR="00A95039">
          <w:rPr>
            <w:noProof/>
            <w:webHidden/>
          </w:rPr>
        </w:r>
        <w:r w:rsidR="00A95039">
          <w:rPr>
            <w:noProof/>
            <w:webHidden/>
          </w:rPr>
          <w:fldChar w:fldCharType="separate"/>
        </w:r>
        <w:r w:rsidR="002B7633">
          <w:rPr>
            <w:noProof/>
            <w:webHidden/>
          </w:rPr>
          <w:t>19</w:t>
        </w:r>
        <w:r w:rsidR="00A95039">
          <w:rPr>
            <w:noProof/>
            <w:webHidden/>
          </w:rPr>
          <w:fldChar w:fldCharType="end"/>
        </w:r>
      </w:hyperlink>
    </w:p>
    <w:p w14:paraId="08BF30B0" w14:textId="77777777" w:rsidR="002B7633" w:rsidRDefault="00000000">
      <w:pPr>
        <w:pStyle w:val="TOC3"/>
        <w:tabs>
          <w:tab w:val="right" w:leader="dot" w:pos="8990"/>
        </w:tabs>
        <w:rPr>
          <w:rFonts w:asciiTheme="minorHAnsi" w:eastAsiaTheme="minorEastAsia" w:hAnsiTheme="minorHAnsi" w:cstheme="minorBidi"/>
          <w:noProof/>
        </w:rPr>
      </w:pPr>
      <w:hyperlink w:anchor="_Toc404357160" w:history="1">
        <w:r w:rsidR="002B7633" w:rsidRPr="005B2AED">
          <w:rPr>
            <w:rStyle w:val="Hyperlink"/>
            <w:noProof/>
          </w:rPr>
          <w:t>Premature Distributions</w:t>
        </w:r>
        <w:r w:rsidR="002B7633">
          <w:rPr>
            <w:noProof/>
            <w:webHidden/>
          </w:rPr>
          <w:tab/>
        </w:r>
        <w:r w:rsidR="00A95039">
          <w:rPr>
            <w:noProof/>
            <w:webHidden/>
          </w:rPr>
          <w:fldChar w:fldCharType="begin"/>
        </w:r>
        <w:r w:rsidR="002B7633">
          <w:rPr>
            <w:noProof/>
            <w:webHidden/>
          </w:rPr>
          <w:instrText xml:space="preserve"> PAGEREF _Toc404357160 \h </w:instrText>
        </w:r>
        <w:r w:rsidR="00A95039">
          <w:rPr>
            <w:noProof/>
            <w:webHidden/>
          </w:rPr>
        </w:r>
        <w:r w:rsidR="00A95039">
          <w:rPr>
            <w:noProof/>
            <w:webHidden/>
          </w:rPr>
          <w:fldChar w:fldCharType="separate"/>
        </w:r>
        <w:r w:rsidR="002B7633">
          <w:rPr>
            <w:noProof/>
            <w:webHidden/>
          </w:rPr>
          <w:t>19</w:t>
        </w:r>
        <w:r w:rsidR="00A95039">
          <w:rPr>
            <w:noProof/>
            <w:webHidden/>
          </w:rPr>
          <w:fldChar w:fldCharType="end"/>
        </w:r>
      </w:hyperlink>
    </w:p>
    <w:p w14:paraId="29BB8690"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61" w:history="1">
        <w:r w:rsidR="002B7633" w:rsidRPr="005B2AED">
          <w:rPr>
            <w:rStyle w:val="Hyperlink"/>
            <w:noProof/>
          </w:rPr>
          <w:t>Premature Distributions Avoiding Tax Penalty</w:t>
        </w:r>
        <w:r w:rsidR="002B7633">
          <w:rPr>
            <w:noProof/>
            <w:webHidden/>
          </w:rPr>
          <w:tab/>
        </w:r>
        <w:r w:rsidR="00A95039">
          <w:rPr>
            <w:noProof/>
            <w:webHidden/>
          </w:rPr>
          <w:fldChar w:fldCharType="begin"/>
        </w:r>
        <w:r w:rsidR="002B7633">
          <w:rPr>
            <w:noProof/>
            <w:webHidden/>
          </w:rPr>
          <w:instrText xml:space="preserve"> PAGEREF _Toc404357161 \h </w:instrText>
        </w:r>
        <w:r w:rsidR="00A95039">
          <w:rPr>
            <w:noProof/>
            <w:webHidden/>
          </w:rPr>
        </w:r>
        <w:r w:rsidR="00A95039">
          <w:rPr>
            <w:noProof/>
            <w:webHidden/>
          </w:rPr>
          <w:fldChar w:fldCharType="separate"/>
        </w:r>
        <w:r w:rsidR="002B7633">
          <w:rPr>
            <w:noProof/>
            <w:webHidden/>
          </w:rPr>
          <w:t>19</w:t>
        </w:r>
        <w:r w:rsidR="00A95039">
          <w:rPr>
            <w:noProof/>
            <w:webHidden/>
          </w:rPr>
          <w:fldChar w:fldCharType="end"/>
        </w:r>
      </w:hyperlink>
    </w:p>
    <w:p w14:paraId="1A2605C0"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62" w:history="1">
        <w:r w:rsidR="002B7633" w:rsidRPr="005B2AED">
          <w:rPr>
            <w:rStyle w:val="Hyperlink"/>
            <w:noProof/>
          </w:rPr>
          <w:t>Pro-Rata Distribution of Non-Deductible Contributions</w:t>
        </w:r>
        <w:r w:rsidR="002B7633">
          <w:rPr>
            <w:noProof/>
            <w:webHidden/>
          </w:rPr>
          <w:tab/>
        </w:r>
        <w:r w:rsidR="00A95039">
          <w:rPr>
            <w:noProof/>
            <w:webHidden/>
          </w:rPr>
          <w:fldChar w:fldCharType="begin"/>
        </w:r>
        <w:r w:rsidR="002B7633">
          <w:rPr>
            <w:noProof/>
            <w:webHidden/>
          </w:rPr>
          <w:instrText xml:space="preserve"> PAGEREF _Toc404357162 \h </w:instrText>
        </w:r>
        <w:r w:rsidR="00A95039">
          <w:rPr>
            <w:noProof/>
            <w:webHidden/>
          </w:rPr>
        </w:r>
        <w:r w:rsidR="00A95039">
          <w:rPr>
            <w:noProof/>
            <w:webHidden/>
          </w:rPr>
          <w:fldChar w:fldCharType="separate"/>
        </w:r>
        <w:r w:rsidR="002B7633">
          <w:rPr>
            <w:noProof/>
            <w:webHidden/>
          </w:rPr>
          <w:t>20</w:t>
        </w:r>
        <w:r w:rsidR="00A95039">
          <w:rPr>
            <w:noProof/>
            <w:webHidden/>
          </w:rPr>
          <w:fldChar w:fldCharType="end"/>
        </w:r>
      </w:hyperlink>
    </w:p>
    <w:p w14:paraId="3FB75C82" w14:textId="77777777" w:rsidR="002B7633" w:rsidRDefault="00000000">
      <w:pPr>
        <w:pStyle w:val="TOC3"/>
        <w:tabs>
          <w:tab w:val="right" w:leader="dot" w:pos="8990"/>
        </w:tabs>
        <w:rPr>
          <w:rFonts w:asciiTheme="minorHAnsi" w:eastAsiaTheme="minorEastAsia" w:hAnsiTheme="minorHAnsi" w:cstheme="minorBidi"/>
          <w:noProof/>
        </w:rPr>
      </w:pPr>
      <w:hyperlink w:anchor="_Toc404357163" w:history="1">
        <w:r w:rsidR="002B7633" w:rsidRPr="005B2AED">
          <w:rPr>
            <w:rStyle w:val="Hyperlink"/>
            <w:noProof/>
          </w:rPr>
          <w:t>Required Distributions during Owner’s Lifetime</w:t>
        </w:r>
        <w:r w:rsidR="002B7633">
          <w:rPr>
            <w:noProof/>
            <w:webHidden/>
          </w:rPr>
          <w:tab/>
        </w:r>
        <w:r w:rsidR="00A95039">
          <w:rPr>
            <w:noProof/>
            <w:webHidden/>
          </w:rPr>
          <w:fldChar w:fldCharType="begin"/>
        </w:r>
        <w:r w:rsidR="002B7633">
          <w:rPr>
            <w:noProof/>
            <w:webHidden/>
          </w:rPr>
          <w:instrText xml:space="preserve"> PAGEREF _Toc404357163 \h </w:instrText>
        </w:r>
        <w:r w:rsidR="00A95039">
          <w:rPr>
            <w:noProof/>
            <w:webHidden/>
          </w:rPr>
        </w:r>
        <w:r w:rsidR="00A95039">
          <w:rPr>
            <w:noProof/>
            <w:webHidden/>
          </w:rPr>
          <w:fldChar w:fldCharType="separate"/>
        </w:r>
        <w:r w:rsidR="002B7633">
          <w:rPr>
            <w:noProof/>
            <w:webHidden/>
          </w:rPr>
          <w:t>20</w:t>
        </w:r>
        <w:r w:rsidR="00A95039">
          <w:rPr>
            <w:noProof/>
            <w:webHidden/>
          </w:rPr>
          <w:fldChar w:fldCharType="end"/>
        </w:r>
      </w:hyperlink>
    </w:p>
    <w:p w14:paraId="7864C52F"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64" w:history="1">
        <w:r w:rsidR="002B7633" w:rsidRPr="005B2AED">
          <w:rPr>
            <w:rStyle w:val="Hyperlink"/>
            <w:noProof/>
          </w:rPr>
          <w:t>Required Minimum Distribution Amount</w:t>
        </w:r>
        <w:r w:rsidR="002B7633">
          <w:rPr>
            <w:noProof/>
            <w:webHidden/>
          </w:rPr>
          <w:tab/>
        </w:r>
        <w:r w:rsidR="00A95039">
          <w:rPr>
            <w:noProof/>
            <w:webHidden/>
          </w:rPr>
          <w:fldChar w:fldCharType="begin"/>
        </w:r>
        <w:r w:rsidR="002B7633">
          <w:rPr>
            <w:noProof/>
            <w:webHidden/>
          </w:rPr>
          <w:instrText xml:space="preserve"> PAGEREF _Toc404357164 \h </w:instrText>
        </w:r>
        <w:r w:rsidR="00A95039">
          <w:rPr>
            <w:noProof/>
            <w:webHidden/>
          </w:rPr>
        </w:r>
        <w:r w:rsidR="00A95039">
          <w:rPr>
            <w:noProof/>
            <w:webHidden/>
          </w:rPr>
          <w:fldChar w:fldCharType="separate"/>
        </w:r>
        <w:r w:rsidR="002B7633">
          <w:rPr>
            <w:noProof/>
            <w:webHidden/>
          </w:rPr>
          <w:t>21</w:t>
        </w:r>
        <w:r w:rsidR="00A95039">
          <w:rPr>
            <w:noProof/>
            <w:webHidden/>
          </w:rPr>
          <w:fldChar w:fldCharType="end"/>
        </w:r>
      </w:hyperlink>
    </w:p>
    <w:p w14:paraId="4CED93BC" w14:textId="77777777" w:rsidR="002B7633" w:rsidRDefault="00000000">
      <w:pPr>
        <w:pStyle w:val="TOC3"/>
        <w:tabs>
          <w:tab w:val="right" w:leader="dot" w:pos="8990"/>
        </w:tabs>
        <w:rPr>
          <w:rFonts w:asciiTheme="minorHAnsi" w:eastAsiaTheme="minorEastAsia" w:hAnsiTheme="minorHAnsi" w:cstheme="minorBidi"/>
          <w:noProof/>
        </w:rPr>
      </w:pPr>
      <w:hyperlink w:anchor="_Toc404357165" w:history="1">
        <w:r w:rsidR="002B7633" w:rsidRPr="005B2AED">
          <w:rPr>
            <w:rStyle w:val="Hyperlink"/>
            <w:noProof/>
          </w:rPr>
          <w:t>Required Distributions at Owner’s Death</w:t>
        </w:r>
        <w:r w:rsidR="002B7633">
          <w:rPr>
            <w:noProof/>
            <w:webHidden/>
          </w:rPr>
          <w:tab/>
        </w:r>
        <w:r w:rsidR="00A95039">
          <w:rPr>
            <w:noProof/>
            <w:webHidden/>
          </w:rPr>
          <w:fldChar w:fldCharType="begin"/>
        </w:r>
        <w:r w:rsidR="002B7633">
          <w:rPr>
            <w:noProof/>
            <w:webHidden/>
          </w:rPr>
          <w:instrText xml:space="preserve"> PAGEREF _Toc404357165 \h </w:instrText>
        </w:r>
        <w:r w:rsidR="00A95039">
          <w:rPr>
            <w:noProof/>
            <w:webHidden/>
          </w:rPr>
        </w:r>
        <w:r w:rsidR="00A95039">
          <w:rPr>
            <w:noProof/>
            <w:webHidden/>
          </w:rPr>
          <w:fldChar w:fldCharType="separate"/>
        </w:r>
        <w:r w:rsidR="002B7633">
          <w:rPr>
            <w:noProof/>
            <w:webHidden/>
          </w:rPr>
          <w:t>22</w:t>
        </w:r>
        <w:r w:rsidR="00A95039">
          <w:rPr>
            <w:noProof/>
            <w:webHidden/>
          </w:rPr>
          <w:fldChar w:fldCharType="end"/>
        </w:r>
      </w:hyperlink>
    </w:p>
    <w:p w14:paraId="51497048"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66" w:history="1">
        <w:r w:rsidR="002B7633" w:rsidRPr="005B2AED">
          <w:rPr>
            <w:rStyle w:val="Hyperlink"/>
            <w:noProof/>
          </w:rPr>
          <w:t>Death before an Owner’s Required Beginning Date</w:t>
        </w:r>
        <w:r w:rsidR="002B7633">
          <w:rPr>
            <w:noProof/>
            <w:webHidden/>
          </w:rPr>
          <w:tab/>
        </w:r>
        <w:r w:rsidR="00A95039">
          <w:rPr>
            <w:noProof/>
            <w:webHidden/>
          </w:rPr>
          <w:fldChar w:fldCharType="begin"/>
        </w:r>
        <w:r w:rsidR="002B7633">
          <w:rPr>
            <w:noProof/>
            <w:webHidden/>
          </w:rPr>
          <w:instrText xml:space="preserve"> PAGEREF _Toc404357166 \h </w:instrText>
        </w:r>
        <w:r w:rsidR="00A95039">
          <w:rPr>
            <w:noProof/>
            <w:webHidden/>
          </w:rPr>
        </w:r>
        <w:r w:rsidR="00A95039">
          <w:rPr>
            <w:noProof/>
            <w:webHidden/>
          </w:rPr>
          <w:fldChar w:fldCharType="separate"/>
        </w:r>
        <w:r w:rsidR="002B7633">
          <w:rPr>
            <w:noProof/>
            <w:webHidden/>
          </w:rPr>
          <w:t>22</w:t>
        </w:r>
        <w:r w:rsidR="00A95039">
          <w:rPr>
            <w:noProof/>
            <w:webHidden/>
          </w:rPr>
          <w:fldChar w:fldCharType="end"/>
        </w:r>
      </w:hyperlink>
    </w:p>
    <w:p w14:paraId="096563F5" w14:textId="77777777" w:rsidR="002B7633" w:rsidRDefault="00000000">
      <w:pPr>
        <w:pStyle w:val="TOC5"/>
        <w:tabs>
          <w:tab w:val="right" w:leader="dot" w:pos="8990"/>
        </w:tabs>
        <w:rPr>
          <w:rFonts w:asciiTheme="minorHAnsi" w:eastAsiaTheme="minorEastAsia" w:hAnsiTheme="minorHAnsi" w:cstheme="minorBidi"/>
          <w:noProof/>
          <w:szCs w:val="22"/>
        </w:rPr>
      </w:pPr>
      <w:hyperlink w:anchor="_Toc404357167" w:history="1">
        <w:r w:rsidR="002B7633" w:rsidRPr="005B2AED">
          <w:rPr>
            <w:rStyle w:val="Hyperlink"/>
            <w:noProof/>
          </w:rPr>
          <w:t>Life Expectancy Rule</w:t>
        </w:r>
        <w:r w:rsidR="002B7633">
          <w:rPr>
            <w:noProof/>
            <w:webHidden/>
          </w:rPr>
          <w:tab/>
        </w:r>
        <w:r w:rsidR="00A95039">
          <w:rPr>
            <w:noProof/>
            <w:webHidden/>
          </w:rPr>
          <w:fldChar w:fldCharType="begin"/>
        </w:r>
        <w:r w:rsidR="002B7633">
          <w:rPr>
            <w:noProof/>
            <w:webHidden/>
          </w:rPr>
          <w:instrText xml:space="preserve"> PAGEREF _Toc404357167 \h </w:instrText>
        </w:r>
        <w:r w:rsidR="00A95039">
          <w:rPr>
            <w:noProof/>
            <w:webHidden/>
          </w:rPr>
        </w:r>
        <w:r w:rsidR="00A95039">
          <w:rPr>
            <w:noProof/>
            <w:webHidden/>
          </w:rPr>
          <w:fldChar w:fldCharType="separate"/>
        </w:r>
        <w:r w:rsidR="002B7633">
          <w:rPr>
            <w:noProof/>
            <w:webHidden/>
          </w:rPr>
          <w:t>22</w:t>
        </w:r>
        <w:r w:rsidR="00A95039">
          <w:rPr>
            <w:noProof/>
            <w:webHidden/>
          </w:rPr>
          <w:fldChar w:fldCharType="end"/>
        </w:r>
      </w:hyperlink>
    </w:p>
    <w:p w14:paraId="11B873C4" w14:textId="77777777" w:rsidR="002B7633" w:rsidRDefault="00000000">
      <w:pPr>
        <w:pStyle w:val="TOC5"/>
        <w:tabs>
          <w:tab w:val="right" w:leader="dot" w:pos="8990"/>
        </w:tabs>
        <w:rPr>
          <w:rFonts w:asciiTheme="minorHAnsi" w:eastAsiaTheme="minorEastAsia" w:hAnsiTheme="minorHAnsi" w:cstheme="minorBidi"/>
          <w:noProof/>
          <w:szCs w:val="22"/>
        </w:rPr>
      </w:pPr>
      <w:hyperlink w:anchor="_Toc404357168" w:history="1">
        <w:r w:rsidR="002B7633" w:rsidRPr="005B2AED">
          <w:rPr>
            <w:rStyle w:val="Hyperlink"/>
            <w:noProof/>
          </w:rPr>
          <w:t>Five-Year Rule</w:t>
        </w:r>
        <w:r w:rsidR="002B7633">
          <w:rPr>
            <w:noProof/>
            <w:webHidden/>
          </w:rPr>
          <w:tab/>
        </w:r>
        <w:r w:rsidR="00A95039">
          <w:rPr>
            <w:noProof/>
            <w:webHidden/>
          </w:rPr>
          <w:fldChar w:fldCharType="begin"/>
        </w:r>
        <w:r w:rsidR="002B7633">
          <w:rPr>
            <w:noProof/>
            <w:webHidden/>
          </w:rPr>
          <w:instrText xml:space="preserve"> PAGEREF _Toc404357168 \h </w:instrText>
        </w:r>
        <w:r w:rsidR="00A95039">
          <w:rPr>
            <w:noProof/>
            <w:webHidden/>
          </w:rPr>
        </w:r>
        <w:r w:rsidR="00A95039">
          <w:rPr>
            <w:noProof/>
            <w:webHidden/>
          </w:rPr>
          <w:fldChar w:fldCharType="separate"/>
        </w:r>
        <w:r w:rsidR="002B7633">
          <w:rPr>
            <w:noProof/>
            <w:webHidden/>
          </w:rPr>
          <w:t>23</w:t>
        </w:r>
        <w:r w:rsidR="00A95039">
          <w:rPr>
            <w:noProof/>
            <w:webHidden/>
          </w:rPr>
          <w:fldChar w:fldCharType="end"/>
        </w:r>
      </w:hyperlink>
    </w:p>
    <w:p w14:paraId="6C3DDDCC" w14:textId="77777777" w:rsidR="002B7633" w:rsidRDefault="00000000">
      <w:pPr>
        <w:pStyle w:val="TOC5"/>
        <w:tabs>
          <w:tab w:val="right" w:leader="dot" w:pos="8990"/>
        </w:tabs>
        <w:rPr>
          <w:rFonts w:asciiTheme="minorHAnsi" w:eastAsiaTheme="minorEastAsia" w:hAnsiTheme="minorHAnsi" w:cstheme="minorBidi"/>
          <w:noProof/>
          <w:szCs w:val="22"/>
        </w:rPr>
      </w:pPr>
      <w:hyperlink w:anchor="_Toc404357169" w:history="1">
        <w:r w:rsidR="002B7633" w:rsidRPr="005B2AED">
          <w:rPr>
            <w:rStyle w:val="Hyperlink"/>
            <w:noProof/>
          </w:rPr>
          <w:t>Surviving Spouse’s Election</w:t>
        </w:r>
        <w:r w:rsidR="002B7633">
          <w:rPr>
            <w:noProof/>
            <w:webHidden/>
          </w:rPr>
          <w:tab/>
        </w:r>
        <w:r w:rsidR="00A95039">
          <w:rPr>
            <w:noProof/>
            <w:webHidden/>
          </w:rPr>
          <w:fldChar w:fldCharType="begin"/>
        </w:r>
        <w:r w:rsidR="002B7633">
          <w:rPr>
            <w:noProof/>
            <w:webHidden/>
          </w:rPr>
          <w:instrText xml:space="preserve"> PAGEREF _Toc404357169 \h </w:instrText>
        </w:r>
        <w:r w:rsidR="00A95039">
          <w:rPr>
            <w:noProof/>
            <w:webHidden/>
          </w:rPr>
        </w:r>
        <w:r w:rsidR="00A95039">
          <w:rPr>
            <w:noProof/>
            <w:webHidden/>
          </w:rPr>
          <w:fldChar w:fldCharType="separate"/>
        </w:r>
        <w:r w:rsidR="002B7633">
          <w:rPr>
            <w:noProof/>
            <w:webHidden/>
          </w:rPr>
          <w:t>23</w:t>
        </w:r>
        <w:r w:rsidR="00A95039">
          <w:rPr>
            <w:noProof/>
            <w:webHidden/>
          </w:rPr>
          <w:fldChar w:fldCharType="end"/>
        </w:r>
      </w:hyperlink>
    </w:p>
    <w:p w14:paraId="1C72D2C6"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70" w:history="1">
        <w:r w:rsidR="002B7633" w:rsidRPr="005B2AED">
          <w:rPr>
            <w:rStyle w:val="Hyperlink"/>
            <w:noProof/>
          </w:rPr>
          <w:t>Death On or After the Required Beginning Date</w:t>
        </w:r>
        <w:r w:rsidR="002B7633">
          <w:rPr>
            <w:noProof/>
            <w:webHidden/>
          </w:rPr>
          <w:tab/>
        </w:r>
        <w:r w:rsidR="00A95039">
          <w:rPr>
            <w:noProof/>
            <w:webHidden/>
          </w:rPr>
          <w:fldChar w:fldCharType="begin"/>
        </w:r>
        <w:r w:rsidR="002B7633">
          <w:rPr>
            <w:noProof/>
            <w:webHidden/>
          </w:rPr>
          <w:instrText xml:space="preserve"> PAGEREF _Toc404357170 \h </w:instrText>
        </w:r>
        <w:r w:rsidR="00A95039">
          <w:rPr>
            <w:noProof/>
            <w:webHidden/>
          </w:rPr>
        </w:r>
        <w:r w:rsidR="00A95039">
          <w:rPr>
            <w:noProof/>
            <w:webHidden/>
          </w:rPr>
          <w:fldChar w:fldCharType="separate"/>
        </w:r>
        <w:r w:rsidR="002B7633">
          <w:rPr>
            <w:noProof/>
            <w:webHidden/>
          </w:rPr>
          <w:t>23</w:t>
        </w:r>
        <w:r w:rsidR="00A95039">
          <w:rPr>
            <w:noProof/>
            <w:webHidden/>
          </w:rPr>
          <w:fldChar w:fldCharType="end"/>
        </w:r>
      </w:hyperlink>
    </w:p>
    <w:p w14:paraId="7C0CAC8D"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1"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_Toc404357171 \h </w:instrText>
        </w:r>
        <w:r w:rsidR="00A95039">
          <w:rPr>
            <w:noProof/>
            <w:webHidden/>
          </w:rPr>
        </w:r>
        <w:r w:rsidR="00A95039">
          <w:rPr>
            <w:noProof/>
            <w:webHidden/>
          </w:rPr>
          <w:fldChar w:fldCharType="separate"/>
        </w:r>
        <w:r w:rsidR="002B7633">
          <w:rPr>
            <w:noProof/>
            <w:webHidden/>
          </w:rPr>
          <w:t>23</w:t>
        </w:r>
        <w:r w:rsidR="00A95039">
          <w:rPr>
            <w:noProof/>
            <w:webHidden/>
          </w:rPr>
          <w:fldChar w:fldCharType="end"/>
        </w:r>
      </w:hyperlink>
    </w:p>
    <w:p w14:paraId="0D44870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2" w:history="1">
        <w:r w:rsidR="002B7633" w:rsidRPr="005B2AED">
          <w:rPr>
            <w:rStyle w:val="Hyperlink"/>
            <w:noProof/>
          </w:rPr>
          <w:t>Review Quiz #3</w:t>
        </w:r>
        <w:r w:rsidR="002B7633">
          <w:rPr>
            <w:noProof/>
            <w:webHidden/>
          </w:rPr>
          <w:tab/>
        </w:r>
        <w:r w:rsidR="00A95039">
          <w:rPr>
            <w:noProof/>
            <w:webHidden/>
          </w:rPr>
          <w:fldChar w:fldCharType="begin"/>
        </w:r>
        <w:r w:rsidR="002B7633">
          <w:rPr>
            <w:noProof/>
            <w:webHidden/>
          </w:rPr>
          <w:instrText xml:space="preserve"> PAGEREF _Toc404357172 \h </w:instrText>
        </w:r>
        <w:r w:rsidR="00A95039">
          <w:rPr>
            <w:noProof/>
            <w:webHidden/>
          </w:rPr>
        </w:r>
        <w:r w:rsidR="00A95039">
          <w:rPr>
            <w:noProof/>
            <w:webHidden/>
          </w:rPr>
          <w:fldChar w:fldCharType="separate"/>
        </w:r>
        <w:r w:rsidR="002B7633">
          <w:rPr>
            <w:noProof/>
            <w:webHidden/>
          </w:rPr>
          <w:t>24</w:t>
        </w:r>
        <w:r w:rsidR="00A95039">
          <w:rPr>
            <w:noProof/>
            <w:webHidden/>
          </w:rPr>
          <w:fldChar w:fldCharType="end"/>
        </w:r>
      </w:hyperlink>
    </w:p>
    <w:p w14:paraId="18FCB6F1"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173" w:history="1">
        <w:r w:rsidR="002B7633" w:rsidRPr="005B2AED">
          <w:rPr>
            <w:rStyle w:val="Hyperlink"/>
            <w:noProof/>
          </w:rPr>
          <w:t>Chapter 2 Roth Individual Retirement Accounts</w:t>
        </w:r>
        <w:r w:rsidR="002B7633">
          <w:rPr>
            <w:noProof/>
            <w:webHidden/>
          </w:rPr>
          <w:tab/>
        </w:r>
        <w:r w:rsidR="00A95039">
          <w:rPr>
            <w:noProof/>
            <w:webHidden/>
          </w:rPr>
          <w:fldChar w:fldCharType="begin"/>
        </w:r>
        <w:r w:rsidR="002B7633">
          <w:rPr>
            <w:noProof/>
            <w:webHidden/>
          </w:rPr>
          <w:instrText xml:space="preserve"> PAGEREF _Toc404357173 \h </w:instrText>
        </w:r>
        <w:r w:rsidR="00A95039">
          <w:rPr>
            <w:noProof/>
            <w:webHidden/>
          </w:rPr>
        </w:r>
        <w:r w:rsidR="00A95039">
          <w:rPr>
            <w:noProof/>
            <w:webHidden/>
          </w:rPr>
          <w:fldChar w:fldCharType="separate"/>
        </w:r>
        <w:r w:rsidR="002B7633">
          <w:rPr>
            <w:noProof/>
            <w:webHidden/>
          </w:rPr>
          <w:t>25</w:t>
        </w:r>
        <w:r w:rsidR="00A95039">
          <w:rPr>
            <w:noProof/>
            <w:webHidden/>
          </w:rPr>
          <w:fldChar w:fldCharType="end"/>
        </w:r>
      </w:hyperlink>
    </w:p>
    <w:p w14:paraId="3202F32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4"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_Toc404357174 \h </w:instrText>
        </w:r>
        <w:r w:rsidR="00A95039">
          <w:rPr>
            <w:noProof/>
            <w:webHidden/>
          </w:rPr>
        </w:r>
        <w:r w:rsidR="00A95039">
          <w:rPr>
            <w:noProof/>
            <w:webHidden/>
          </w:rPr>
          <w:fldChar w:fldCharType="separate"/>
        </w:r>
        <w:r w:rsidR="002B7633">
          <w:rPr>
            <w:noProof/>
            <w:webHidden/>
          </w:rPr>
          <w:t>25</w:t>
        </w:r>
        <w:r w:rsidR="00A95039">
          <w:rPr>
            <w:noProof/>
            <w:webHidden/>
          </w:rPr>
          <w:fldChar w:fldCharType="end"/>
        </w:r>
      </w:hyperlink>
    </w:p>
    <w:p w14:paraId="3636CA1A"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5"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_Toc404357175 \h </w:instrText>
        </w:r>
        <w:r w:rsidR="00A95039">
          <w:rPr>
            <w:noProof/>
            <w:webHidden/>
          </w:rPr>
        </w:r>
        <w:r w:rsidR="00A95039">
          <w:rPr>
            <w:noProof/>
            <w:webHidden/>
          </w:rPr>
          <w:fldChar w:fldCharType="separate"/>
        </w:r>
        <w:r w:rsidR="002B7633">
          <w:rPr>
            <w:noProof/>
            <w:webHidden/>
          </w:rPr>
          <w:t>25</w:t>
        </w:r>
        <w:r w:rsidR="00A95039">
          <w:rPr>
            <w:noProof/>
            <w:webHidden/>
          </w:rPr>
          <w:fldChar w:fldCharType="end"/>
        </w:r>
      </w:hyperlink>
    </w:p>
    <w:p w14:paraId="6EF4245B"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6" w:history="1">
        <w:r w:rsidR="002B7633" w:rsidRPr="005B2AED">
          <w:rPr>
            <w:rStyle w:val="Hyperlink"/>
            <w:noProof/>
          </w:rPr>
          <w:t>Definition &amp; Eligibility</w:t>
        </w:r>
        <w:r w:rsidR="002B7633">
          <w:rPr>
            <w:noProof/>
            <w:webHidden/>
          </w:rPr>
          <w:tab/>
        </w:r>
        <w:r w:rsidR="00A95039">
          <w:rPr>
            <w:noProof/>
            <w:webHidden/>
          </w:rPr>
          <w:fldChar w:fldCharType="begin"/>
        </w:r>
        <w:r w:rsidR="002B7633">
          <w:rPr>
            <w:noProof/>
            <w:webHidden/>
          </w:rPr>
          <w:instrText xml:space="preserve"> PAGEREF _Toc404357176 \h </w:instrText>
        </w:r>
        <w:r w:rsidR="00A95039">
          <w:rPr>
            <w:noProof/>
            <w:webHidden/>
          </w:rPr>
        </w:r>
        <w:r w:rsidR="00A95039">
          <w:rPr>
            <w:noProof/>
            <w:webHidden/>
          </w:rPr>
          <w:fldChar w:fldCharType="separate"/>
        </w:r>
        <w:r w:rsidR="002B7633">
          <w:rPr>
            <w:noProof/>
            <w:webHidden/>
          </w:rPr>
          <w:t>26</w:t>
        </w:r>
        <w:r w:rsidR="00A95039">
          <w:rPr>
            <w:noProof/>
            <w:webHidden/>
          </w:rPr>
          <w:fldChar w:fldCharType="end"/>
        </w:r>
      </w:hyperlink>
    </w:p>
    <w:p w14:paraId="272399E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7" w:history="1">
        <w:r w:rsidR="002B7633" w:rsidRPr="005B2AED">
          <w:rPr>
            <w:rStyle w:val="Hyperlink"/>
            <w:noProof/>
          </w:rPr>
          <w:t>Limits on Contributions</w:t>
        </w:r>
        <w:r w:rsidR="002B7633">
          <w:rPr>
            <w:noProof/>
            <w:webHidden/>
          </w:rPr>
          <w:tab/>
        </w:r>
        <w:r w:rsidR="00A95039">
          <w:rPr>
            <w:noProof/>
            <w:webHidden/>
          </w:rPr>
          <w:fldChar w:fldCharType="begin"/>
        </w:r>
        <w:r w:rsidR="002B7633">
          <w:rPr>
            <w:noProof/>
            <w:webHidden/>
          </w:rPr>
          <w:instrText xml:space="preserve"> PAGEREF _Toc404357177 \h </w:instrText>
        </w:r>
        <w:r w:rsidR="00A95039">
          <w:rPr>
            <w:noProof/>
            <w:webHidden/>
          </w:rPr>
        </w:r>
        <w:r w:rsidR="00A95039">
          <w:rPr>
            <w:noProof/>
            <w:webHidden/>
          </w:rPr>
          <w:fldChar w:fldCharType="separate"/>
        </w:r>
        <w:r w:rsidR="002B7633">
          <w:rPr>
            <w:noProof/>
            <w:webHidden/>
          </w:rPr>
          <w:t>26</w:t>
        </w:r>
        <w:r w:rsidR="00A95039">
          <w:rPr>
            <w:noProof/>
            <w:webHidden/>
          </w:rPr>
          <w:fldChar w:fldCharType="end"/>
        </w:r>
      </w:hyperlink>
    </w:p>
    <w:p w14:paraId="1BD389C9"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78" w:history="1">
        <w:r w:rsidR="002B7633" w:rsidRPr="005B2AED">
          <w:rPr>
            <w:rStyle w:val="Hyperlink"/>
            <w:noProof/>
          </w:rPr>
          <w:t>Roth IRA Tax Considerations</w:t>
        </w:r>
        <w:r w:rsidR="002B7633">
          <w:rPr>
            <w:noProof/>
            <w:webHidden/>
          </w:rPr>
          <w:tab/>
        </w:r>
        <w:r w:rsidR="00A95039">
          <w:rPr>
            <w:noProof/>
            <w:webHidden/>
          </w:rPr>
          <w:fldChar w:fldCharType="begin"/>
        </w:r>
        <w:r w:rsidR="002B7633">
          <w:rPr>
            <w:noProof/>
            <w:webHidden/>
          </w:rPr>
          <w:instrText xml:space="preserve"> PAGEREF _Toc404357178 \h </w:instrText>
        </w:r>
        <w:r w:rsidR="00A95039">
          <w:rPr>
            <w:noProof/>
            <w:webHidden/>
          </w:rPr>
        </w:r>
        <w:r w:rsidR="00A95039">
          <w:rPr>
            <w:noProof/>
            <w:webHidden/>
          </w:rPr>
          <w:fldChar w:fldCharType="separate"/>
        </w:r>
        <w:r w:rsidR="002B7633">
          <w:rPr>
            <w:noProof/>
            <w:webHidden/>
          </w:rPr>
          <w:t>28</w:t>
        </w:r>
        <w:r w:rsidR="00A95039">
          <w:rPr>
            <w:noProof/>
            <w:webHidden/>
          </w:rPr>
          <w:fldChar w:fldCharType="end"/>
        </w:r>
      </w:hyperlink>
    </w:p>
    <w:p w14:paraId="1D59A236" w14:textId="77777777" w:rsidR="002B7633" w:rsidRDefault="00000000">
      <w:pPr>
        <w:pStyle w:val="TOC3"/>
        <w:tabs>
          <w:tab w:val="right" w:leader="dot" w:pos="8990"/>
        </w:tabs>
        <w:rPr>
          <w:rFonts w:asciiTheme="minorHAnsi" w:eastAsiaTheme="minorEastAsia" w:hAnsiTheme="minorHAnsi" w:cstheme="minorBidi"/>
          <w:noProof/>
        </w:rPr>
      </w:pPr>
      <w:hyperlink w:anchor="_Toc404357179" w:history="1">
        <w:r w:rsidR="002B7633" w:rsidRPr="005B2AED">
          <w:rPr>
            <w:rStyle w:val="Hyperlink"/>
            <w:noProof/>
          </w:rPr>
          <w:t>Qualified Distributions Tax-Free</w:t>
        </w:r>
        <w:r w:rsidR="002B7633">
          <w:rPr>
            <w:noProof/>
            <w:webHidden/>
          </w:rPr>
          <w:tab/>
        </w:r>
        <w:r w:rsidR="00A95039">
          <w:rPr>
            <w:noProof/>
            <w:webHidden/>
          </w:rPr>
          <w:fldChar w:fldCharType="begin"/>
        </w:r>
        <w:r w:rsidR="002B7633">
          <w:rPr>
            <w:noProof/>
            <w:webHidden/>
          </w:rPr>
          <w:instrText xml:space="preserve"> PAGEREF _Toc404357179 \h </w:instrText>
        </w:r>
        <w:r w:rsidR="00A95039">
          <w:rPr>
            <w:noProof/>
            <w:webHidden/>
          </w:rPr>
        </w:r>
        <w:r w:rsidR="00A95039">
          <w:rPr>
            <w:noProof/>
            <w:webHidden/>
          </w:rPr>
          <w:fldChar w:fldCharType="separate"/>
        </w:r>
        <w:r w:rsidR="002B7633">
          <w:rPr>
            <w:noProof/>
            <w:webHidden/>
          </w:rPr>
          <w:t>28</w:t>
        </w:r>
        <w:r w:rsidR="00A95039">
          <w:rPr>
            <w:noProof/>
            <w:webHidden/>
          </w:rPr>
          <w:fldChar w:fldCharType="end"/>
        </w:r>
      </w:hyperlink>
    </w:p>
    <w:p w14:paraId="12B0C251" w14:textId="77777777" w:rsidR="002B7633" w:rsidRDefault="00000000">
      <w:pPr>
        <w:pStyle w:val="TOC3"/>
        <w:tabs>
          <w:tab w:val="right" w:leader="dot" w:pos="8990"/>
        </w:tabs>
        <w:rPr>
          <w:rFonts w:asciiTheme="minorHAnsi" w:eastAsiaTheme="minorEastAsia" w:hAnsiTheme="minorHAnsi" w:cstheme="minorBidi"/>
          <w:noProof/>
        </w:rPr>
      </w:pPr>
      <w:hyperlink w:anchor="_Toc404357180" w:history="1">
        <w:r w:rsidR="002B7633" w:rsidRPr="005B2AED">
          <w:rPr>
            <w:rStyle w:val="Hyperlink"/>
            <w:noProof/>
          </w:rPr>
          <w:t>Non-Qualified Distributions Receive FIFO Tax Treatment</w:t>
        </w:r>
        <w:r w:rsidR="002B7633">
          <w:rPr>
            <w:noProof/>
            <w:webHidden/>
          </w:rPr>
          <w:tab/>
        </w:r>
        <w:r w:rsidR="00A95039">
          <w:rPr>
            <w:noProof/>
            <w:webHidden/>
          </w:rPr>
          <w:fldChar w:fldCharType="begin"/>
        </w:r>
        <w:r w:rsidR="002B7633">
          <w:rPr>
            <w:noProof/>
            <w:webHidden/>
          </w:rPr>
          <w:instrText xml:space="preserve"> PAGEREF _Toc404357180 \h </w:instrText>
        </w:r>
        <w:r w:rsidR="00A95039">
          <w:rPr>
            <w:noProof/>
            <w:webHidden/>
          </w:rPr>
        </w:r>
        <w:r w:rsidR="00A95039">
          <w:rPr>
            <w:noProof/>
            <w:webHidden/>
          </w:rPr>
          <w:fldChar w:fldCharType="separate"/>
        </w:r>
        <w:r w:rsidR="002B7633">
          <w:rPr>
            <w:noProof/>
            <w:webHidden/>
          </w:rPr>
          <w:t>30</w:t>
        </w:r>
        <w:r w:rsidR="00A95039">
          <w:rPr>
            <w:noProof/>
            <w:webHidden/>
          </w:rPr>
          <w:fldChar w:fldCharType="end"/>
        </w:r>
      </w:hyperlink>
    </w:p>
    <w:p w14:paraId="221B68F5"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81" w:history="1">
        <w:r w:rsidR="002B7633" w:rsidRPr="005B2AED">
          <w:rPr>
            <w:rStyle w:val="Hyperlink"/>
            <w:noProof/>
          </w:rPr>
          <w:t>Non-Qualified Gain Distributions Subject to Tax Penalty</w:t>
        </w:r>
        <w:r w:rsidR="002B7633">
          <w:rPr>
            <w:noProof/>
            <w:webHidden/>
          </w:rPr>
          <w:tab/>
        </w:r>
        <w:r w:rsidR="00A95039">
          <w:rPr>
            <w:noProof/>
            <w:webHidden/>
          </w:rPr>
          <w:fldChar w:fldCharType="begin"/>
        </w:r>
        <w:r w:rsidR="002B7633">
          <w:rPr>
            <w:noProof/>
            <w:webHidden/>
          </w:rPr>
          <w:instrText xml:space="preserve"> PAGEREF _Toc404357181 \h </w:instrText>
        </w:r>
        <w:r w:rsidR="00A95039">
          <w:rPr>
            <w:noProof/>
            <w:webHidden/>
          </w:rPr>
        </w:r>
        <w:r w:rsidR="00A95039">
          <w:rPr>
            <w:noProof/>
            <w:webHidden/>
          </w:rPr>
          <w:fldChar w:fldCharType="separate"/>
        </w:r>
        <w:r w:rsidR="002B7633">
          <w:rPr>
            <w:noProof/>
            <w:webHidden/>
          </w:rPr>
          <w:t>31</w:t>
        </w:r>
        <w:r w:rsidR="00A95039">
          <w:rPr>
            <w:noProof/>
            <w:webHidden/>
          </w:rPr>
          <w:fldChar w:fldCharType="end"/>
        </w:r>
      </w:hyperlink>
    </w:p>
    <w:p w14:paraId="10963614" w14:textId="77777777" w:rsidR="002B7633" w:rsidRDefault="00000000">
      <w:pPr>
        <w:pStyle w:val="TOC3"/>
        <w:tabs>
          <w:tab w:val="right" w:leader="dot" w:pos="8990"/>
        </w:tabs>
        <w:rPr>
          <w:rFonts w:asciiTheme="minorHAnsi" w:eastAsiaTheme="minorEastAsia" w:hAnsiTheme="minorHAnsi" w:cstheme="minorBidi"/>
          <w:noProof/>
        </w:rPr>
      </w:pPr>
      <w:hyperlink w:anchor="_Toc404357182" w:history="1">
        <w:r w:rsidR="002B7633" w:rsidRPr="005B2AED">
          <w:rPr>
            <w:rStyle w:val="Hyperlink"/>
            <w:noProof/>
          </w:rPr>
          <w:t>No Lifetime Required Distributions</w:t>
        </w:r>
        <w:r w:rsidR="002B7633">
          <w:rPr>
            <w:noProof/>
            <w:webHidden/>
          </w:rPr>
          <w:tab/>
        </w:r>
        <w:r w:rsidR="00A95039">
          <w:rPr>
            <w:noProof/>
            <w:webHidden/>
          </w:rPr>
          <w:fldChar w:fldCharType="begin"/>
        </w:r>
        <w:r w:rsidR="002B7633">
          <w:rPr>
            <w:noProof/>
            <w:webHidden/>
          </w:rPr>
          <w:instrText xml:space="preserve"> PAGEREF _Toc404357182 \h </w:instrText>
        </w:r>
        <w:r w:rsidR="00A95039">
          <w:rPr>
            <w:noProof/>
            <w:webHidden/>
          </w:rPr>
        </w:r>
        <w:r w:rsidR="00A95039">
          <w:rPr>
            <w:noProof/>
            <w:webHidden/>
          </w:rPr>
          <w:fldChar w:fldCharType="separate"/>
        </w:r>
        <w:r w:rsidR="002B7633">
          <w:rPr>
            <w:noProof/>
            <w:webHidden/>
          </w:rPr>
          <w:t>31</w:t>
        </w:r>
        <w:r w:rsidR="00A95039">
          <w:rPr>
            <w:noProof/>
            <w:webHidden/>
          </w:rPr>
          <w:fldChar w:fldCharType="end"/>
        </w:r>
      </w:hyperlink>
    </w:p>
    <w:p w14:paraId="6DA56425"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83" w:history="1">
        <w:r w:rsidR="002B7633" w:rsidRPr="005B2AED">
          <w:rPr>
            <w:rStyle w:val="Hyperlink"/>
            <w:noProof/>
          </w:rPr>
          <w:t>Roth IRA Conversions &amp; Transfers</w:t>
        </w:r>
        <w:r w:rsidR="002B7633">
          <w:rPr>
            <w:noProof/>
            <w:webHidden/>
          </w:rPr>
          <w:tab/>
        </w:r>
        <w:r w:rsidR="00A95039">
          <w:rPr>
            <w:noProof/>
            <w:webHidden/>
          </w:rPr>
          <w:fldChar w:fldCharType="begin"/>
        </w:r>
        <w:r w:rsidR="002B7633">
          <w:rPr>
            <w:noProof/>
            <w:webHidden/>
          </w:rPr>
          <w:instrText xml:space="preserve"> PAGEREF _Toc404357183 \h </w:instrText>
        </w:r>
        <w:r w:rsidR="00A95039">
          <w:rPr>
            <w:noProof/>
            <w:webHidden/>
          </w:rPr>
        </w:r>
        <w:r w:rsidR="00A95039">
          <w:rPr>
            <w:noProof/>
            <w:webHidden/>
          </w:rPr>
          <w:fldChar w:fldCharType="separate"/>
        </w:r>
        <w:r w:rsidR="002B7633">
          <w:rPr>
            <w:noProof/>
            <w:webHidden/>
          </w:rPr>
          <w:t>31</w:t>
        </w:r>
        <w:r w:rsidR="00A95039">
          <w:rPr>
            <w:noProof/>
            <w:webHidden/>
          </w:rPr>
          <w:fldChar w:fldCharType="end"/>
        </w:r>
      </w:hyperlink>
    </w:p>
    <w:p w14:paraId="7CFFD93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84" w:history="1">
        <w:r w:rsidR="002B7633" w:rsidRPr="005B2AED">
          <w:rPr>
            <w:rStyle w:val="Hyperlink"/>
            <w:noProof/>
          </w:rPr>
          <w:t>Roth IRA Death Benefit Distributions</w:t>
        </w:r>
        <w:r w:rsidR="002B7633">
          <w:rPr>
            <w:noProof/>
            <w:webHidden/>
          </w:rPr>
          <w:tab/>
        </w:r>
        <w:r w:rsidR="00A95039">
          <w:rPr>
            <w:noProof/>
            <w:webHidden/>
          </w:rPr>
          <w:fldChar w:fldCharType="begin"/>
        </w:r>
        <w:r w:rsidR="002B7633">
          <w:rPr>
            <w:noProof/>
            <w:webHidden/>
          </w:rPr>
          <w:instrText xml:space="preserve"> PAGEREF _Toc404357184 \h </w:instrText>
        </w:r>
        <w:r w:rsidR="00A95039">
          <w:rPr>
            <w:noProof/>
            <w:webHidden/>
          </w:rPr>
        </w:r>
        <w:r w:rsidR="00A95039">
          <w:rPr>
            <w:noProof/>
            <w:webHidden/>
          </w:rPr>
          <w:fldChar w:fldCharType="separate"/>
        </w:r>
        <w:r w:rsidR="002B7633">
          <w:rPr>
            <w:noProof/>
            <w:webHidden/>
          </w:rPr>
          <w:t>32</w:t>
        </w:r>
        <w:r w:rsidR="00A95039">
          <w:rPr>
            <w:noProof/>
            <w:webHidden/>
          </w:rPr>
          <w:fldChar w:fldCharType="end"/>
        </w:r>
      </w:hyperlink>
    </w:p>
    <w:p w14:paraId="7E3C59CF" w14:textId="77777777" w:rsidR="002B7633" w:rsidRDefault="00000000">
      <w:pPr>
        <w:pStyle w:val="TOC3"/>
        <w:tabs>
          <w:tab w:val="right" w:leader="dot" w:pos="8990"/>
        </w:tabs>
        <w:rPr>
          <w:rFonts w:asciiTheme="minorHAnsi" w:eastAsiaTheme="minorEastAsia" w:hAnsiTheme="minorHAnsi" w:cstheme="minorBidi"/>
          <w:noProof/>
        </w:rPr>
      </w:pPr>
      <w:hyperlink w:anchor="_Toc404357185" w:history="1">
        <w:r w:rsidR="002B7633" w:rsidRPr="005B2AED">
          <w:rPr>
            <w:rStyle w:val="Hyperlink"/>
            <w:noProof/>
          </w:rPr>
          <w:t>Life Expectancy Rule</w:t>
        </w:r>
        <w:r w:rsidR="002B7633">
          <w:rPr>
            <w:noProof/>
            <w:webHidden/>
          </w:rPr>
          <w:tab/>
        </w:r>
        <w:r w:rsidR="00A95039">
          <w:rPr>
            <w:noProof/>
            <w:webHidden/>
          </w:rPr>
          <w:fldChar w:fldCharType="begin"/>
        </w:r>
        <w:r w:rsidR="002B7633">
          <w:rPr>
            <w:noProof/>
            <w:webHidden/>
          </w:rPr>
          <w:instrText xml:space="preserve"> PAGEREF _Toc404357185 \h </w:instrText>
        </w:r>
        <w:r w:rsidR="00A95039">
          <w:rPr>
            <w:noProof/>
            <w:webHidden/>
          </w:rPr>
        </w:r>
        <w:r w:rsidR="00A95039">
          <w:rPr>
            <w:noProof/>
            <w:webHidden/>
          </w:rPr>
          <w:fldChar w:fldCharType="separate"/>
        </w:r>
        <w:r w:rsidR="002B7633">
          <w:rPr>
            <w:noProof/>
            <w:webHidden/>
          </w:rPr>
          <w:t>32</w:t>
        </w:r>
        <w:r w:rsidR="00A95039">
          <w:rPr>
            <w:noProof/>
            <w:webHidden/>
          </w:rPr>
          <w:fldChar w:fldCharType="end"/>
        </w:r>
      </w:hyperlink>
    </w:p>
    <w:p w14:paraId="6C4E43C5"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86" w:history="1">
        <w:r w:rsidR="002B7633" w:rsidRPr="005B2AED">
          <w:rPr>
            <w:rStyle w:val="Hyperlink"/>
            <w:noProof/>
          </w:rPr>
          <w:t>Surviving Spouse’s Life Expectancy Rule</w:t>
        </w:r>
        <w:r w:rsidR="002B7633">
          <w:rPr>
            <w:noProof/>
            <w:webHidden/>
          </w:rPr>
          <w:tab/>
        </w:r>
        <w:r w:rsidR="00A95039">
          <w:rPr>
            <w:noProof/>
            <w:webHidden/>
          </w:rPr>
          <w:fldChar w:fldCharType="begin"/>
        </w:r>
        <w:r w:rsidR="002B7633">
          <w:rPr>
            <w:noProof/>
            <w:webHidden/>
          </w:rPr>
          <w:instrText xml:space="preserve"> PAGEREF _Toc404357186 \h </w:instrText>
        </w:r>
        <w:r w:rsidR="00A95039">
          <w:rPr>
            <w:noProof/>
            <w:webHidden/>
          </w:rPr>
        </w:r>
        <w:r w:rsidR="00A95039">
          <w:rPr>
            <w:noProof/>
            <w:webHidden/>
          </w:rPr>
          <w:fldChar w:fldCharType="separate"/>
        </w:r>
        <w:r w:rsidR="002B7633">
          <w:rPr>
            <w:noProof/>
            <w:webHidden/>
          </w:rPr>
          <w:t>32</w:t>
        </w:r>
        <w:r w:rsidR="00A95039">
          <w:rPr>
            <w:noProof/>
            <w:webHidden/>
          </w:rPr>
          <w:fldChar w:fldCharType="end"/>
        </w:r>
      </w:hyperlink>
    </w:p>
    <w:p w14:paraId="118ADA39" w14:textId="77777777" w:rsidR="002B7633" w:rsidRDefault="00000000">
      <w:pPr>
        <w:pStyle w:val="TOC3"/>
        <w:tabs>
          <w:tab w:val="right" w:leader="dot" w:pos="8990"/>
        </w:tabs>
        <w:rPr>
          <w:rFonts w:asciiTheme="minorHAnsi" w:eastAsiaTheme="minorEastAsia" w:hAnsiTheme="minorHAnsi" w:cstheme="minorBidi"/>
          <w:noProof/>
        </w:rPr>
      </w:pPr>
      <w:hyperlink w:anchor="_Toc404357187" w:history="1">
        <w:r w:rsidR="002B7633" w:rsidRPr="005B2AED">
          <w:rPr>
            <w:rStyle w:val="Hyperlink"/>
            <w:noProof/>
          </w:rPr>
          <w:t>Five-Year Rule</w:t>
        </w:r>
        <w:r w:rsidR="002B7633">
          <w:rPr>
            <w:noProof/>
            <w:webHidden/>
          </w:rPr>
          <w:tab/>
        </w:r>
        <w:r w:rsidR="00A95039">
          <w:rPr>
            <w:noProof/>
            <w:webHidden/>
          </w:rPr>
          <w:fldChar w:fldCharType="begin"/>
        </w:r>
        <w:r w:rsidR="002B7633">
          <w:rPr>
            <w:noProof/>
            <w:webHidden/>
          </w:rPr>
          <w:instrText xml:space="preserve"> PAGEREF _Toc404357187 \h </w:instrText>
        </w:r>
        <w:r w:rsidR="00A95039">
          <w:rPr>
            <w:noProof/>
            <w:webHidden/>
          </w:rPr>
        </w:r>
        <w:r w:rsidR="00A95039">
          <w:rPr>
            <w:noProof/>
            <w:webHidden/>
          </w:rPr>
          <w:fldChar w:fldCharType="separate"/>
        </w:r>
        <w:r w:rsidR="002B7633">
          <w:rPr>
            <w:noProof/>
            <w:webHidden/>
          </w:rPr>
          <w:t>32</w:t>
        </w:r>
        <w:r w:rsidR="00A95039">
          <w:rPr>
            <w:noProof/>
            <w:webHidden/>
          </w:rPr>
          <w:fldChar w:fldCharType="end"/>
        </w:r>
      </w:hyperlink>
    </w:p>
    <w:p w14:paraId="16E287B7" w14:textId="77777777" w:rsidR="002B7633" w:rsidRDefault="00000000">
      <w:pPr>
        <w:pStyle w:val="TOC3"/>
        <w:tabs>
          <w:tab w:val="right" w:leader="dot" w:pos="8990"/>
        </w:tabs>
        <w:rPr>
          <w:rFonts w:asciiTheme="minorHAnsi" w:eastAsiaTheme="minorEastAsia" w:hAnsiTheme="minorHAnsi" w:cstheme="minorBidi"/>
          <w:noProof/>
        </w:rPr>
      </w:pPr>
      <w:hyperlink w:anchor="_Toc404357188" w:history="1">
        <w:r w:rsidR="002B7633" w:rsidRPr="005B2AED">
          <w:rPr>
            <w:rStyle w:val="Hyperlink"/>
            <w:noProof/>
          </w:rPr>
          <w:t>Surviving Spouse’s Election</w:t>
        </w:r>
        <w:r w:rsidR="002B7633">
          <w:rPr>
            <w:noProof/>
            <w:webHidden/>
          </w:rPr>
          <w:tab/>
        </w:r>
        <w:r w:rsidR="00A95039">
          <w:rPr>
            <w:noProof/>
            <w:webHidden/>
          </w:rPr>
          <w:fldChar w:fldCharType="begin"/>
        </w:r>
        <w:r w:rsidR="002B7633">
          <w:rPr>
            <w:noProof/>
            <w:webHidden/>
          </w:rPr>
          <w:instrText xml:space="preserve"> PAGEREF _Toc404357188 \h </w:instrText>
        </w:r>
        <w:r w:rsidR="00A95039">
          <w:rPr>
            <w:noProof/>
            <w:webHidden/>
          </w:rPr>
        </w:r>
        <w:r w:rsidR="00A95039">
          <w:rPr>
            <w:noProof/>
            <w:webHidden/>
          </w:rPr>
          <w:fldChar w:fldCharType="separate"/>
        </w:r>
        <w:r w:rsidR="002B7633">
          <w:rPr>
            <w:noProof/>
            <w:webHidden/>
          </w:rPr>
          <w:t>32</w:t>
        </w:r>
        <w:r w:rsidR="00A95039">
          <w:rPr>
            <w:noProof/>
            <w:webHidden/>
          </w:rPr>
          <w:fldChar w:fldCharType="end"/>
        </w:r>
      </w:hyperlink>
    </w:p>
    <w:p w14:paraId="0B7D242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89"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_Toc404357189 \h </w:instrText>
        </w:r>
        <w:r w:rsidR="00A95039">
          <w:rPr>
            <w:noProof/>
            <w:webHidden/>
          </w:rPr>
        </w:r>
        <w:r w:rsidR="00A95039">
          <w:rPr>
            <w:noProof/>
            <w:webHidden/>
          </w:rPr>
          <w:fldChar w:fldCharType="separate"/>
        </w:r>
        <w:r w:rsidR="002B7633">
          <w:rPr>
            <w:noProof/>
            <w:webHidden/>
          </w:rPr>
          <w:t>33</w:t>
        </w:r>
        <w:r w:rsidR="00A95039">
          <w:rPr>
            <w:noProof/>
            <w:webHidden/>
          </w:rPr>
          <w:fldChar w:fldCharType="end"/>
        </w:r>
      </w:hyperlink>
    </w:p>
    <w:p w14:paraId="5AE03671"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90" w:history="1">
        <w:r w:rsidR="002B7633" w:rsidRPr="005B2AED">
          <w:rPr>
            <w:rStyle w:val="Hyperlink"/>
            <w:noProof/>
          </w:rPr>
          <w:t>Review Quiz #4</w:t>
        </w:r>
        <w:r w:rsidR="002B7633">
          <w:rPr>
            <w:noProof/>
            <w:webHidden/>
          </w:rPr>
          <w:tab/>
        </w:r>
        <w:r w:rsidR="00A95039">
          <w:rPr>
            <w:noProof/>
            <w:webHidden/>
          </w:rPr>
          <w:fldChar w:fldCharType="begin"/>
        </w:r>
        <w:r w:rsidR="002B7633">
          <w:rPr>
            <w:noProof/>
            <w:webHidden/>
          </w:rPr>
          <w:instrText xml:space="preserve"> PAGEREF _Toc404357190 \h </w:instrText>
        </w:r>
        <w:r w:rsidR="00A95039">
          <w:rPr>
            <w:noProof/>
            <w:webHidden/>
          </w:rPr>
        </w:r>
        <w:r w:rsidR="00A95039">
          <w:rPr>
            <w:noProof/>
            <w:webHidden/>
          </w:rPr>
          <w:fldChar w:fldCharType="separate"/>
        </w:r>
        <w:r w:rsidR="002B7633">
          <w:rPr>
            <w:noProof/>
            <w:webHidden/>
          </w:rPr>
          <w:t>33</w:t>
        </w:r>
        <w:r w:rsidR="00A95039">
          <w:rPr>
            <w:noProof/>
            <w:webHidden/>
          </w:rPr>
          <w:fldChar w:fldCharType="end"/>
        </w:r>
      </w:hyperlink>
    </w:p>
    <w:p w14:paraId="6695842F"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191" w:history="1">
        <w:r w:rsidR="002B7633" w:rsidRPr="005B2AED">
          <w:rPr>
            <w:rStyle w:val="Hyperlink"/>
            <w:noProof/>
          </w:rPr>
          <w:t>Chapter 3 Individual Retirement Account Funding</w:t>
        </w:r>
        <w:r w:rsidR="002B7633">
          <w:rPr>
            <w:noProof/>
            <w:webHidden/>
          </w:rPr>
          <w:tab/>
        </w:r>
        <w:r w:rsidR="00A95039">
          <w:rPr>
            <w:noProof/>
            <w:webHidden/>
          </w:rPr>
          <w:fldChar w:fldCharType="begin"/>
        </w:r>
        <w:r w:rsidR="002B7633">
          <w:rPr>
            <w:noProof/>
            <w:webHidden/>
          </w:rPr>
          <w:instrText xml:space="preserve"> PAGEREF _Toc404357191 \h </w:instrText>
        </w:r>
        <w:r w:rsidR="00A95039">
          <w:rPr>
            <w:noProof/>
            <w:webHidden/>
          </w:rPr>
        </w:r>
        <w:r w:rsidR="00A95039">
          <w:rPr>
            <w:noProof/>
            <w:webHidden/>
          </w:rPr>
          <w:fldChar w:fldCharType="separate"/>
        </w:r>
        <w:r w:rsidR="002B7633">
          <w:rPr>
            <w:noProof/>
            <w:webHidden/>
          </w:rPr>
          <w:t>35</w:t>
        </w:r>
        <w:r w:rsidR="00A95039">
          <w:rPr>
            <w:noProof/>
            <w:webHidden/>
          </w:rPr>
          <w:fldChar w:fldCharType="end"/>
        </w:r>
      </w:hyperlink>
    </w:p>
    <w:p w14:paraId="10FCF7F0"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92"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_Toc404357192 \h </w:instrText>
        </w:r>
        <w:r w:rsidR="00A95039">
          <w:rPr>
            <w:noProof/>
            <w:webHidden/>
          </w:rPr>
        </w:r>
        <w:r w:rsidR="00A95039">
          <w:rPr>
            <w:noProof/>
            <w:webHidden/>
          </w:rPr>
          <w:fldChar w:fldCharType="separate"/>
        </w:r>
        <w:r w:rsidR="002B7633">
          <w:rPr>
            <w:noProof/>
            <w:webHidden/>
          </w:rPr>
          <w:t>35</w:t>
        </w:r>
        <w:r w:rsidR="00A95039">
          <w:rPr>
            <w:noProof/>
            <w:webHidden/>
          </w:rPr>
          <w:fldChar w:fldCharType="end"/>
        </w:r>
      </w:hyperlink>
    </w:p>
    <w:p w14:paraId="53C06523"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93"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_Toc404357193 \h </w:instrText>
        </w:r>
        <w:r w:rsidR="00A95039">
          <w:rPr>
            <w:noProof/>
            <w:webHidden/>
          </w:rPr>
        </w:r>
        <w:r w:rsidR="00A95039">
          <w:rPr>
            <w:noProof/>
            <w:webHidden/>
          </w:rPr>
          <w:fldChar w:fldCharType="separate"/>
        </w:r>
        <w:r w:rsidR="002B7633">
          <w:rPr>
            <w:noProof/>
            <w:webHidden/>
          </w:rPr>
          <w:t>35</w:t>
        </w:r>
        <w:r w:rsidR="00A95039">
          <w:rPr>
            <w:noProof/>
            <w:webHidden/>
          </w:rPr>
          <w:fldChar w:fldCharType="end"/>
        </w:r>
      </w:hyperlink>
    </w:p>
    <w:p w14:paraId="16F4DD5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194" w:history="1">
        <w:r w:rsidR="002B7633" w:rsidRPr="005B2AED">
          <w:rPr>
            <w:rStyle w:val="Hyperlink"/>
            <w:noProof/>
          </w:rPr>
          <w:t>IRA Investment Options</w:t>
        </w:r>
        <w:r w:rsidR="002B7633">
          <w:rPr>
            <w:noProof/>
            <w:webHidden/>
          </w:rPr>
          <w:tab/>
        </w:r>
        <w:r w:rsidR="00A95039">
          <w:rPr>
            <w:noProof/>
            <w:webHidden/>
          </w:rPr>
          <w:fldChar w:fldCharType="begin"/>
        </w:r>
        <w:r w:rsidR="002B7633">
          <w:rPr>
            <w:noProof/>
            <w:webHidden/>
          </w:rPr>
          <w:instrText xml:space="preserve"> PAGEREF _Toc404357194 \h </w:instrText>
        </w:r>
        <w:r w:rsidR="00A95039">
          <w:rPr>
            <w:noProof/>
            <w:webHidden/>
          </w:rPr>
        </w:r>
        <w:r w:rsidR="00A95039">
          <w:rPr>
            <w:noProof/>
            <w:webHidden/>
          </w:rPr>
          <w:fldChar w:fldCharType="separate"/>
        </w:r>
        <w:r w:rsidR="002B7633">
          <w:rPr>
            <w:noProof/>
            <w:webHidden/>
          </w:rPr>
          <w:t>35</w:t>
        </w:r>
        <w:r w:rsidR="00A95039">
          <w:rPr>
            <w:noProof/>
            <w:webHidden/>
          </w:rPr>
          <w:fldChar w:fldCharType="end"/>
        </w:r>
      </w:hyperlink>
    </w:p>
    <w:p w14:paraId="4ADBFC1E" w14:textId="77777777" w:rsidR="002B7633" w:rsidRDefault="00000000">
      <w:pPr>
        <w:pStyle w:val="TOC3"/>
        <w:tabs>
          <w:tab w:val="right" w:leader="dot" w:pos="8990"/>
        </w:tabs>
        <w:rPr>
          <w:rFonts w:asciiTheme="minorHAnsi" w:eastAsiaTheme="minorEastAsia" w:hAnsiTheme="minorHAnsi" w:cstheme="minorBidi"/>
          <w:noProof/>
        </w:rPr>
      </w:pPr>
      <w:hyperlink w:anchor="_Toc404357195" w:history="1">
        <w:r w:rsidR="002B7633" w:rsidRPr="005B2AED">
          <w:rPr>
            <w:rStyle w:val="Hyperlink"/>
            <w:noProof/>
          </w:rPr>
          <w:t>Trust or Custodial Account IRA Funding</w:t>
        </w:r>
        <w:r w:rsidR="002B7633">
          <w:rPr>
            <w:noProof/>
            <w:webHidden/>
          </w:rPr>
          <w:tab/>
        </w:r>
        <w:r w:rsidR="00A95039">
          <w:rPr>
            <w:noProof/>
            <w:webHidden/>
          </w:rPr>
          <w:fldChar w:fldCharType="begin"/>
        </w:r>
        <w:r w:rsidR="002B7633">
          <w:rPr>
            <w:noProof/>
            <w:webHidden/>
          </w:rPr>
          <w:instrText xml:space="preserve"> PAGEREF _Toc404357195 \h </w:instrText>
        </w:r>
        <w:r w:rsidR="00A95039">
          <w:rPr>
            <w:noProof/>
            <w:webHidden/>
          </w:rPr>
        </w:r>
        <w:r w:rsidR="00A95039">
          <w:rPr>
            <w:noProof/>
            <w:webHidden/>
          </w:rPr>
          <w:fldChar w:fldCharType="separate"/>
        </w:r>
        <w:r w:rsidR="002B7633">
          <w:rPr>
            <w:noProof/>
            <w:webHidden/>
          </w:rPr>
          <w:t>36</w:t>
        </w:r>
        <w:r w:rsidR="00A95039">
          <w:rPr>
            <w:noProof/>
            <w:webHidden/>
          </w:rPr>
          <w:fldChar w:fldCharType="end"/>
        </w:r>
      </w:hyperlink>
    </w:p>
    <w:p w14:paraId="7463D680"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96" w:history="1">
        <w:r w:rsidR="002B7633" w:rsidRPr="005B2AED">
          <w:rPr>
            <w:rStyle w:val="Hyperlink"/>
            <w:noProof/>
          </w:rPr>
          <w:t>Prohibited IRA Investments</w:t>
        </w:r>
        <w:r w:rsidR="002B7633">
          <w:rPr>
            <w:noProof/>
            <w:webHidden/>
          </w:rPr>
          <w:tab/>
        </w:r>
        <w:r w:rsidR="00A95039">
          <w:rPr>
            <w:noProof/>
            <w:webHidden/>
          </w:rPr>
          <w:fldChar w:fldCharType="begin"/>
        </w:r>
        <w:r w:rsidR="002B7633">
          <w:rPr>
            <w:noProof/>
            <w:webHidden/>
          </w:rPr>
          <w:instrText xml:space="preserve"> PAGEREF _Toc404357196 \h </w:instrText>
        </w:r>
        <w:r w:rsidR="00A95039">
          <w:rPr>
            <w:noProof/>
            <w:webHidden/>
          </w:rPr>
        </w:r>
        <w:r w:rsidR="00A95039">
          <w:rPr>
            <w:noProof/>
            <w:webHidden/>
          </w:rPr>
          <w:fldChar w:fldCharType="separate"/>
        </w:r>
        <w:r w:rsidR="002B7633">
          <w:rPr>
            <w:noProof/>
            <w:webHidden/>
          </w:rPr>
          <w:t>36</w:t>
        </w:r>
        <w:r w:rsidR="00A95039">
          <w:rPr>
            <w:noProof/>
            <w:webHidden/>
          </w:rPr>
          <w:fldChar w:fldCharType="end"/>
        </w:r>
      </w:hyperlink>
    </w:p>
    <w:p w14:paraId="3528D0E8"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97" w:history="1">
        <w:r w:rsidR="002B7633" w:rsidRPr="005B2AED">
          <w:rPr>
            <w:rStyle w:val="Hyperlink"/>
            <w:noProof/>
          </w:rPr>
          <w:t>Separately-Paid Custodial Fees a Miscellaneous Itemized Deduction</w:t>
        </w:r>
        <w:r w:rsidR="002B7633">
          <w:rPr>
            <w:noProof/>
            <w:webHidden/>
          </w:rPr>
          <w:tab/>
        </w:r>
        <w:r w:rsidR="00A95039">
          <w:rPr>
            <w:noProof/>
            <w:webHidden/>
          </w:rPr>
          <w:fldChar w:fldCharType="begin"/>
        </w:r>
        <w:r w:rsidR="002B7633">
          <w:rPr>
            <w:noProof/>
            <w:webHidden/>
          </w:rPr>
          <w:instrText xml:space="preserve"> PAGEREF _Toc404357197 \h </w:instrText>
        </w:r>
        <w:r w:rsidR="00A95039">
          <w:rPr>
            <w:noProof/>
            <w:webHidden/>
          </w:rPr>
        </w:r>
        <w:r w:rsidR="00A95039">
          <w:rPr>
            <w:noProof/>
            <w:webHidden/>
          </w:rPr>
          <w:fldChar w:fldCharType="separate"/>
        </w:r>
        <w:r w:rsidR="002B7633">
          <w:rPr>
            <w:noProof/>
            <w:webHidden/>
          </w:rPr>
          <w:t>36</w:t>
        </w:r>
        <w:r w:rsidR="00A95039">
          <w:rPr>
            <w:noProof/>
            <w:webHidden/>
          </w:rPr>
          <w:fldChar w:fldCharType="end"/>
        </w:r>
      </w:hyperlink>
    </w:p>
    <w:p w14:paraId="79E3170A" w14:textId="77777777" w:rsidR="002B7633" w:rsidRDefault="00000000">
      <w:pPr>
        <w:pStyle w:val="TOC3"/>
        <w:tabs>
          <w:tab w:val="right" w:leader="dot" w:pos="8990"/>
        </w:tabs>
        <w:rPr>
          <w:rFonts w:asciiTheme="minorHAnsi" w:eastAsiaTheme="minorEastAsia" w:hAnsiTheme="minorHAnsi" w:cstheme="minorBidi"/>
          <w:noProof/>
        </w:rPr>
      </w:pPr>
      <w:hyperlink w:anchor="_Toc404357198" w:history="1">
        <w:r w:rsidR="002B7633" w:rsidRPr="005B2AED">
          <w:rPr>
            <w:rStyle w:val="Hyperlink"/>
            <w:noProof/>
          </w:rPr>
          <w:t>Using Annuities to Fund IRAs</w:t>
        </w:r>
        <w:r w:rsidR="002B7633">
          <w:rPr>
            <w:noProof/>
            <w:webHidden/>
          </w:rPr>
          <w:tab/>
        </w:r>
        <w:r w:rsidR="00A95039">
          <w:rPr>
            <w:noProof/>
            <w:webHidden/>
          </w:rPr>
          <w:fldChar w:fldCharType="begin"/>
        </w:r>
        <w:r w:rsidR="002B7633">
          <w:rPr>
            <w:noProof/>
            <w:webHidden/>
          </w:rPr>
          <w:instrText xml:space="preserve"> PAGEREF _Toc404357198 \h </w:instrText>
        </w:r>
        <w:r w:rsidR="00A95039">
          <w:rPr>
            <w:noProof/>
            <w:webHidden/>
          </w:rPr>
        </w:r>
        <w:r w:rsidR="00A95039">
          <w:rPr>
            <w:noProof/>
            <w:webHidden/>
          </w:rPr>
          <w:fldChar w:fldCharType="separate"/>
        </w:r>
        <w:r w:rsidR="002B7633">
          <w:rPr>
            <w:noProof/>
            <w:webHidden/>
          </w:rPr>
          <w:t>36</w:t>
        </w:r>
        <w:r w:rsidR="00A95039">
          <w:rPr>
            <w:noProof/>
            <w:webHidden/>
          </w:rPr>
          <w:fldChar w:fldCharType="end"/>
        </w:r>
      </w:hyperlink>
    </w:p>
    <w:p w14:paraId="17F7D4C5"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199" w:history="1">
        <w:r w:rsidR="002B7633" w:rsidRPr="005B2AED">
          <w:rPr>
            <w:rStyle w:val="Hyperlink"/>
            <w:noProof/>
          </w:rPr>
          <w:t>Non-Tax Benefit #1: Annuity Death Benefits</w:t>
        </w:r>
        <w:r w:rsidR="002B7633">
          <w:rPr>
            <w:noProof/>
            <w:webHidden/>
          </w:rPr>
          <w:tab/>
        </w:r>
        <w:r w:rsidR="00A95039">
          <w:rPr>
            <w:noProof/>
            <w:webHidden/>
          </w:rPr>
          <w:fldChar w:fldCharType="begin"/>
        </w:r>
        <w:r w:rsidR="002B7633">
          <w:rPr>
            <w:noProof/>
            <w:webHidden/>
          </w:rPr>
          <w:instrText xml:space="preserve"> PAGEREF _Toc404357199 \h </w:instrText>
        </w:r>
        <w:r w:rsidR="00A95039">
          <w:rPr>
            <w:noProof/>
            <w:webHidden/>
          </w:rPr>
        </w:r>
        <w:r w:rsidR="00A95039">
          <w:rPr>
            <w:noProof/>
            <w:webHidden/>
          </w:rPr>
          <w:fldChar w:fldCharType="separate"/>
        </w:r>
        <w:r w:rsidR="002B7633">
          <w:rPr>
            <w:noProof/>
            <w:webHidden/>
          </w:rPr>
          <w:t>37</w:t>
        </w:r>
        <w:r w:rsidR="00A95039">
          <w:rPr>
            <w:noProof/>
            <w:webHidden/>
          </w:rPr>
          <w:fldChar w:fldCharType="end"/>
        </w:r>
      </w:hyperlink>
    </w:p>
    <w:p w14:paraId="19AA400B"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00" w:history="1">
        <w:r w:rsidR="002B7633" w:rsidRPr="005B2AED">
          <w:rPr>
            <w:rStyle w:val="Hyperlink"/>
            <w:noProof/>
          </w:rPr>
          <w:t>Non-Tax Benefit #2: Annuity Life Income</w:t>
        </w:r>
        <w:r w:rsidR="002B7633">
          <w:rPr>
            <w:noProof/>
            <w:webHidden/>
          </w:rPr>
          <w:tab/>
        </w:r>
        <w:r w:rsidR="00A95039">
          <w:rPr>
            <w:noProof/>
            <w:webHidden/>
          </w:rPr>
          <w:fldChar w:fldCharType="begin"/>
        </w:r>
        <w:r w:rsidR="002B7633">
          <w:rPr>
            <w:noProof/>
            <w:webHidden/>
          </w:rPr>
          <w:instrText xml:space="preserve"> PAGEREF _Toc404357200 \h </w:instrText>
        </w:r>
        <w:r w:rsidR="00A95039">
          <w:rPr>
            <w:noProof/>
            <w:webHidden/>
          </w:rPr>
        </w:r>
        <w:r w:rsidR="00A95039">
          <w:rPr>
            <w:noProof/>
            <w:webHidden/>
          </w:rPr>
          <w:fldChar w:fldCharType="separate"/>
        </w:r>
        <w:r w:rsidR="002B7633">
          <w:rPr>
            <w:noProof/>
            <w:webHidden/>
          </w:rPr>
          <w:t>38</w:t>
        </w:r>
        <w:r w:rsidR="00A95039">
          <w:rPr>
            <w:noProof/>
            <w:webHidden/>
          </w:rPr>
          <w:fldChar w:fldCharType="end"/>
        </w:r>
      </w:hyperlink>
    </w:p>
    <w:p w14:paraId="33679B7F"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1" w:history="1">
        <w:r w:rsidR="002B7633" w:rsidRPr="005B2AED">
          <w:rPr>
            <w:rStyle w:val="Hyperlink"/>
            <w:noProof/>
          </w:rPr>
          <w:t>Variable Annuity Suitability Requirements</w:t>
        </w:r>
        <w:r w:rsidR="002B7633">
          <w:rPr>
            <w:noProof/>
            <w:webHidden/>
          </w:rPr>
          <w:tab/>
        </w:r>
        <w:r w:rsidR="00A95039">
          <w:rPr>
            <w:noProof/>
            <w:webHidden/>
          </w:rPr>
          <w:fldChar w:fldCharType="begin"/>
        </w:r>
        <w:r w:rsidR="002B7633">
          <w:rPr>
            <w:noProof/>
            <w:webHidden/>
          </w:rPr>
          <w:instrText xml:space="preserve"> PAGEREF _Toc404357201 \h </w:instrText>
        </w:r>
        <w:r w:rsidR="00A95039">
          <w:rPr>
            <w:noProof/>
            <w:webHidden/>
          </w:rPr>
        </w:r>
        <w:r w:rsidR="00A95039">
          <w:rPr>
            <w:noProof/>
            <w:webHidden/>
          </w:rPr>
          <w:fldChar w:fldCharType="separate"/>
        </w:r>
        <w:r w:rsidR="002B7633">
          <w:rPr>
            <w:noProof/>
            <w:webHidden/>
          </w:rPr>
          <w:t>38</w:t>
        </w:r>
        <w:r w:rsidR="00A95039">
          <w:rPr>
            <w:noProof/>
            <w:webHidden/>
          </w:rPr>
          <w:fldChar w:fldCharType="end"/>
        </w:r>
      </w:hyperlink>
    </w:p>
    <w:p w14:paraId="28C5252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2"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_Toc404357202 \h </w:instrText>
        </w:r>
        <w:r w:rsidR="00A95039">
          <w:rPr>
            <w:noProof/>
            <w:webHidden/>
          </w:rPr>
        </w:r>
        <w:r w:rsidR="00A95039">
          <w:rPr>
            <w:noProof/>
            <w:webHidden/>
          </w:rPr>
          <w:fldChar w:fldCharType="separate"/>
        </w:r>
        <w:r w:rsidR="002B7633">
          <w:rPr>
            <w:noProof/>
            <w:webHidden/>
          </w:rPr>
          <w:t>39</w:t>
        </w:r>
        <w:r w:rsidR="00A95039">
          <w:rPr>
            <w:noProof/>
            <w:webHidden/>
          </w:rPr>
          <w:fldChar w:fldCharType="end"/>
        </w:r>
      </w:hyperlink>
    </w:p>
    <w:p w14:paraId="2E2E8CED"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3" w:history="1">
        <w:r w:rsidR="002B7633" w:rsidRPr="005B2AED">
          <w:rPr>
            <w:rStyle w:val="Hyperlink"/>
            <w:noProof/>
          </w:rPr>
          <w:t>Review Quiz #5</w:t>
        </w:r>
        <w:r w:rsidR="002B7633">
          <w:rPr>
            <w:noProof/>
            <w:webHidden/>
          </w:rPr>
          <w:tab/>
        </w:r>
        <w:r w:rsidR="00A95039">
          <w:rPr>
            <w:noProof/>
            <w:webHidden/>
          </w:rPr>
          <w:fldChar w:fldCharType="begin"/>
        </w:r>
        <w:r w:rsidR="002B7633">
          <w:rPr>
            <w:noProof/>
            <w:webHidden/>
          </w:rPr>
          <w:instrText xml:space="preserve"> PAGEREF _Toc404357203 \h </w:instrText>
        </w:r>
        <w:r w:rsidR="00A95039">
          <w:rPr>
            <w:noProof/>
            <w:webHidden/>
          </w:rPr>
        </w:r>
        <w:r w:rsidR="00A95039">
          <w:rPr>
            <w:noProof/>
            <w:webHidden/>
          </w:rPr>
          <w:fldChar w:fldCharType="separate"/>
        </w:r>
        <w:r w:rsidR="002B7633">
          <w:rPr>
            <w:noProof/>
            <w:webHidden/>
          </w:rPr>
          <w:t>39</w:t>
        </w:r>
        <w:r w:rsidR="00A95039">
          <w:rPr>
            <w:noProof/>
            <w:webHidden/>
          </w:rPr>
          <w:fldChar w:fldCharType="end"/>
        </w:r>
      </w:hyperlink>
    </w:p>
    <w:p w14:paraId="4AE13870"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04" w:history="1">
        <w:r w:rsidR="002B7633" w:rsidRPr="005B2AED">
          <w:rPr>
            <w:rStyle w:val="Hyperlink"/>
            <w:noProof/>
          </w:rPr>
          <w:t>Chapter 4 Education IRAs (Coverdell Education Savings Accounts)</w:t>
        </w:r>
        <w:r w:rsidR="002B7633">
          <w:rPr>
            <w:noProof/>
            <w:webHidden/>
          </w:rPr>
          <w:tab/>
        </w:r>
        <w:r w:rsidR="00A95039">
          <w:rPr>
            <w:noProof/>
            <w:webHidden/>
          </w:rPr>
          <w:fldChar w:fldCharType="begin"/>
        </w:r>
        <w:r w:rsidR="002B7633">
          <w:rPr>
            <w:noProof/>
            <w:webHidden/>
          </w:rPr>
          <w:instrText xml:space="preserve"> PAGEREF _Toc404357204 \h </w:instrText>
        </w:r>
        <w:r w:rsidR="00A95039">
          <w:rPr>
            <w:noProof/>
            <w:webHidden/>
          </w:rPr>
        </w:r>
        <w:r w:rsidR="00A95039">
          <w:rPr>
            <w:noProof/>
            <w:webHidden/>
          </w:rPr>
          <w:fldChar w:fldCharType="separate"/>
        </w:r>
        <w:r w:rsidR="002B7633">
          <w:rPr>
            <w:noProof/>
            <w:webHidden/>
          </w:rPr>
          <w:t>41</w:t>
        </w:r>
        <w:r w:rsidR="00A95039">
          <w:rPr>
            <w:noProof/>
            <w:webHidden/>
          </w:rPr>
          <w:fldChar w:fldCharType="end"/>
        </w:r>
      </w:hyperlink>
    </w:p>
    <w:p w14:paraId="3D3F007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5"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_Toc404357205 \h </w:instrText>
        </w:r>
        <w:r w:rsidR="00A95039">
          <w:rPr>
            <w:noProof/>
            <w:webHidden/>
          </w:rPr>
        </w:r>
        <w:r w:rsidR="00A95039">
          <w:rPr>
            <w:noProof/>
            <w:webHidden/>
          </w:rPr>
          <w:fldChar w:fldCharType="separate"/>
        </w:r>
        <w:r w:rsidR="002B7633">
          <w:rPr>
            <w:noProof/>
            <w:webHidden/>
          </w:rPr>
          <w:t>41</w:t>
        </w:r>
        <w:r w:rsidR="00A95039">
          <w:rPr>
            <w:noProof/>
            <w:webHidden/>
          </w:rPr>
          <w:fldChar w:fldCharType="end"/>
        </w:r>
      </w:hyperlink>
    </w:p>
    <w:p w14:paraId="3500F480"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6"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_Toc404357206 \h </w:instrText>
        </w:r>
        <w:r w:rsidR="00A95039">
          <w:rPr>
            <w:noProof/>
            <w:webHidden/>
          </w:rPr>
        </w:r>
        <w:r w:rsidR="00A95039">
          <w:rPr>
            <w:noProof/>
            <w:webHidden/>
          </w:rPr>
          <w:fldChar w:fldCharType="separate"/>
        </w:r>
        <w:r w:rsidR="002B7633">
          <w:rPr>
            <w:noProof/>
            <w:webHidden/>
          </w:rPr>
          <w:t>41</w:t>
        </w:r>
        <w:r w:rsidR="00A95039">
          <w:rPr>
            <w:noProof/>
            <w:webHidden/>
          </w:rPr>
          <w:fldChar w:fldCharType="end"/>
        </w:r>
      </w:hyperlink>
    </w:p>
    <w:p w14:paraId="00B0993D"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7" w:history="1">
        <w:r w:rsidR="002B7633" w:rsidRPr="005B2AED">
          <w:rPr>
            <w:rStyle w:val="Hyperlink"/>
            <w:noProof/>
          </w:rPr>
          <w:t>Definition &amp; Eligibility</w:t>
        </w:r>
        <w:r w:rsidR="002B7633">
          <w:rPr>
            <w:noProof/>
            <w:webHidden/>
          </w:rPr>
          <w:tab/>
        </w:r>
        <w:r w:rsidR="00A95039">
          <w:rPr>
            <w:noProof/>
            <w:webHidden/>
          </w:rPr>
          <w:fldChar w:fldCharType="begin"/>
        </w:r>
        <w:r w:rsidR="002B7633">
          <w:rPr>
            <w:noProof/>
            <w:webHidden/>
          </w:rPr>
          <w:instrText xml:space="preserve"> PAGEREF _Toc404357207 \h </w:instrText>
        </w:r>
        <w:r w:rsidR="00A95039">
          <w:rPr>
            <w:noProof/>
            <w:webHidden/>
          </w:rPr>
        </w:r>
        <w:r w:rsidR="00A95039">
          <w:rPr>
            <w:noProof/>
            <w:webHidden/>
          </w:rPr>
          <w:fldChar w:fldCharType="separate"/>
        </w:r>
        <w:r w:rsidR="002B7633">
          <w:rPr>
            <w:noProof/>
            <w:webHidden/>
          </w:rPr>
          <w:t>41</w:t>
        </w:r>
        <w:r w:rsidR="00A95039">
          <w:rPr>
            <w:noProof/>
            <w:webHidden/>
          </w:rPr>
          <w:fldChar w:fldCharType="end"/>
        </w:r>
      </w:hyperlink>
    </w:p>
    <w:p w14:paraId="11F3584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08" w:history="1">
        <w:r w:rsidR="002B7633" w:rsidRPr="005B2AED">
          <w:rPr>
            <w:rStyle w:val="Hyperlink"/>
            <w:noProof/>
          </w:rPr>
          <w:t>Limits on Contributions</w:t>
        </w:r>
        <w:r w:rsidR="002B7633">
          <w:rPr>
            <w:noProof/>
            <w:webHidden/>
          </w:rPr>
          <w:tab/>
        </w:r>
        <w:r w:rsidR="00A95039">
          <w:rPr>
            <w:noProof/>
            <w:webHidden/>
          </w:rPr>
          <w:fldChar w:fldCharType="begin"/>
        </w:r>
        <w:r w:rsidR="002B7633">
          <w:rPr>
            <w:noProof/>
            <w:webHidden/>
          </w:rPr>
          <w:instrText xml:space="preserve"> PAGEREF _Toc404357208 \h </w:instrText>
        </w:r>
        <w:r w:rsidR="00A95039">
          <w:rPr>
            <w:noProof/>
            <w:webHidden/>
          </w:rPr>
        </w:r>
        <w:r w:rsidR="00A95039">
          <w:rPr>
            <w:noProof/>
            <w:webHidden/>
          </w:rPr>
          <w:fldChar w:fldCharType="separate"/>
        </w:r>
        <w:r w:rsidR="002B7633">
          <w:rPr>
            <w:noProof/>
            <w:webHidden/>
          </w:rPr>
          <w:t>42</w:t>
        </w:r>
        <w:r w:rsidR="00A95039">
          <w:rPr>
            <w:noProof/>
            <w:webHidden/>
          </w:rPr>
          <w:fldChar w:fldCharType="end"/>
        </w:r>
      </w:hyperlink>
    </w:p>
    <w:p w14:paraId="3F8D9E11" w14:textId="77777777" w:rsidR="002B7633" w:rsidRDefault="00000000">
      <w:pPr>
        <w:pStyle w:val="TOC3"/>
        <w:tabs>
          <w:tab w:val="right" w:leader="dot" w:pos="8990"/>
        </w:tabs>
        <w:rPr>
          <w:rFonts w:asciiTheme="minorHAnsi" w:eastAsiaTheme="minorEastAsia" w:hAnsiTheme="minorHAnsi" w:cstheme="minorBidi"/>
          <w:noProof/>
        </w:rPr>
      </w:pPr>
      <w:hyperlink w:anchor="_Toc404357209" w:history="1">
        <w:r w:rsidR="002B7633" w:rsidRPr="005B2AED">
          <w:rPr>
            <w:rStyle w:val="Hyperlink"/>
            <w:noProof/>
          </w:rPr>
          <w:t>Eligible ESA Beneficiaries</w:t>
        </w:r>
        <w:r w:rsidR="002B7633">
          <w:rPr>
            <w:noProof/>
            <w:webHidden/>
          </w:rPr>
          <w:tab/>
        </w:r>
        <w:r w:rsidR="00A95039">
          <w:rPr>
            <w:noProof/>
            <w:webHidden/>
          </w:rPr>
          <w:fldChar w:fldCharType="begin"/>
        </w:r>
        <w:r w:rsidR="002B7633">
          <w:rPr>
            <w:noProof/>
            <w:webHidden/>
          </w:rPr>
          <w:instrText xml:space="preserve"> PAGEREF _Toc404357209 \h </w:instrText>
        </w:r>
        <w:r w:rsidR="00A95039">
          <w:rPr>
            <w:noProof/>
            <w:webHidden/>
          </w:rPr>
        </w:r>
        <w:r w:rsidR="00A95039">
          <w:rPr>
            <w:noProof/>
            <w:webHidden/>
          </w:rPr>
          <w:fldChar w:fldCharType="separate"/>
        </w:r>
        <w:r w:rsidR="002B7633">
          <w:rPr>
            <w:noProof/>
            <w:webHidden/>
          </w:rPr>
          <w:t>43</w:t>
        </w:r>
        <w:r w:rsidR="00A95039">
          <w:rPr>
            <w:noProof/>
            <w:webHidden/>
          </w:rPr>
          <w:fldChar w:fldCharType="end"/>
        </w:r>
      </w:hyperlink>
    </w:p>
    <w:p w14:paraId="36F5B919"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10" w:history="1">
        <w:r w:rsidR="002B7633" w:rsidRPr="005B2AED">
          <w:rPr>
            <w:rStyle w:val="Hyperlink"/>
            <w:noProof/>
          </w:rPr>
          <w:t>Tax Considerations</w:t>
        </w:r>
        <w:r w:rsidR="002B7633">
          <w:rPr>
            <w:noProof/>
            <w:webHidden/>
          </w:rPr>
          <w:tab/>
        </w:r>
        <w:r w:rsidR="00A95039">
          <w:rPr>
            <w:noProof/>
            <w:webHidden/>
          </w:rPr>
          <w:fldChar w:fldCharType="begin"/>
        </w:r>
        <w:r w:rsidR="002B7633">
          <w:rPr>
            <w:noProof/>
            <w:webHidden/>
          </w:rPr>
          <w:instrText xml:space="preserve"> PAGEREF _Toc404357210 \h </w:instrText>
        </w:r>
        <w:r w:rsidR="00A95039">
          <w:rPr>
            <w:noProof/>
            <w:webHidden/>
          </w:rPr>
        </w:r>
        <w:r w:rsidR="00A95039">
          <w:rPr>
            <w:noProof/>
            <w:webHidden/>
          </w:rPr>
          <w:fldChar w:fldCharType="separate"/>
        </w:r>
        <w:r w:rsidR="002B7633">
          <w:rPr>
            <w:noProof/>
            <w:webHidden/>
          </w:rPr>
          <w:t>43</w:t>
        </w:r>
        <w:r w:rsidR="00A95039">
          <w:rPr>
            <w:noProof/>
            <w:webHidden/>
          </w:rPr>
          <w:fldChar w:fldCharType="end"/>
        </w:r>
      </w:hyperlink>
    </w:p>
    <w:p w14:paraId="0BCAB7D2" w14:textId="77777777" w:rsidR="002B7633" w:rsidRDefault="00000000">
      <w:pPr>
        <w:pStyle w:val="TOC3"/>
        <w:tabs>
          <w:tab w:val="right" w:leader="dot" w:pos="8990"/>
        </w:tabs>
        <w:rPr>
          <w:rFonts w:asciiTheme="minorHAnsi" w:eastAsiaTheme="minorEastAsia" w:hAnsiTheme="minorHAnsi" w:cstheme="minorBidi"/>
          <w:noProof/>
        </w:rPr>
      </w:pPr>
      <w:hyperlink w:anchor="_Toc404357211" w:history="1">
        <w:r w:rsidR="002B7633" w:rsidRPr="005B2AED">
          <w:rPr>
            <w:rStyle w:val="Hyperlink"/>
            <w:noProof/>
          </w:rPr>
          <w:t>Tax-Free ESA Distributions</w:t>
        </w:r>
        <w:r w:rsidR="002B7633">
          <w:rPr>
            <w:noProof/>
            <w:webHidden/>
          </w:rPr>
          <w:tab/>
        </w:r>
        <w:r w:rsidR="00A95039">
          <w:rPr>
            <w:noProof/>
            <w:webHidden/>
          </w:rPr>
          <w:fldChar w:fldCharType="begin"/>
        </w:r>
        <w:r w:rsidR="002B7633">
          <w:rPr>
            <w:noProof/>
            <w:webHidden/>
          </w:rPr>
          <w:instrText xml:space="preserve"> PAGEREF _Toc404357211 \h </w:instrText>
        </w:r>
        <w:r w:rsidR="00A95039">
          <w:rPr>
            <w:noProof/>
            <w:webHidden/>
          </w:rPr>
        </w:r>
        <w:r w:rsidR="00A95039">
          <w:rPr>
            <w:noProof/>
            <w:webHidden/>
          </w:rPr>
          <w:fldChar w:fldCharType="separate"/>
        </w:r>
        <w:r w:rsidR="002B7633">
          <w:rPr>
            <w:noProof/>
            <w:webHidden/>
          </w:rPr>
          <w:t>43</w:t>
        </w:r>
        <w:r w:rsidR="00A95039">
          <w:rPr>
            <w:noProof/>
            <w:webHidden/>
          </w:rPr>
          <w:fldChar w:fldCharType="end"/>
        </w:r>
      </w:hyperlink>
    </w:p>
    <w:p w14:paraId="7AFAAE8E"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12" w:history="1">
        <w:r w:rsidR="002B7633" w:rsidRPr="005B2AED">
          <w:rPr>
            <w:rStyle w:val="Hyperlink"/>
            <w:noProof/>
          </w:rPr>
          <w:t>Qualified Education Expenses</w:t>
        </w:r>
        <w:r w:rsidR="002B7633">
          <w:rPr>
            <w:noProof/>
            <w:webHidden/>
          </w:rPr>
          <w:tab/>
        </w:r>
        <w:r w:rsidR="00A95039">
          <w:rPr>
            <w:noProof/>
            <w:webHidden/>
          </w:rPr>
          <w:fldChar w:fldCharType="begin"/>
        </w:r>
        <w:r w:rsidR="002B7633">
          <w:rPr>
            <w:noProof/>
            <w:webHidden/>
          </w:rPr>
          <w:instrText xml:space="preserve"> PAGEREF _Toc404357212 \h </w:instrText>
        </w:r>
        <w:r w:rsidR="00A95039">
          <w:rPr>
            <w:noProof/>
            <w:webHidden/>
          </w:rPr>
        </w:r>
        <w:r w:rsidR="00A95039">
          <w:rPr>
            <w:noProof/>
            <w:webHidden/>
          </w:rPr>
          <w:fldChar w:fldCharType="separate"/>
        </w:r>
        <w:r w:rsidR="002B7633">
          <w:rPr>
            <w:noProof/>
            <w:webHidden/>
          </w:rPr>
          <w:t>44</w:t>
        </w:r>
        <w:r w:rsidR="00A95039">
          <w:rPr>
            <w:noProof/>
            <w:webHidden/>
          </w:rPr>
          <w:fldChar w:fldCharType="end"/>
        </w:r>
      </w:hyperlink>
    </w:p>
    <w:p w14:paraId="7E07716C"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13" w:history="1">
        <w:r w:rsidR="002B7633" w:rsidRPr="005B2AED">
          <w:rPr>
            <w:rStyle w:val="Hyperlink"/>
            <w:noProof/>
          </w:rPr>
          <w:t>Eligible Educational Institution</w:t>
        </w:r>
        <w:r w:rsidR="002B7633">
          <w:rPr>
            <w:noProof/>
            <w:webHidden/>
          </w:rPr>
          <w:tab/>
        </w:r>
        <w:r w:rsidR="00A95039">
          <w:rPr>
            <w:noProof/>
            <w:webHidden/>
          </w:rPr>
          <w:fldChar w:fldCharType="begin"/>
        </w:r>
        <w:r w:rsidR="002B7633">
          <w:rPr>
            <w:noProof/>
            <w:webHidden/>
          </w:rPr>
          <w:instrText xml:space="preserve"> PAGEREF _Toc404357213 \h </w:instrText>
        </w:r>
        <w:r w:rsidR="00A95039">
          <w:rPr>
            <w:noProof/>
            <w:webHidden/>
          </w:rPr>
        </w:r>
        <w:r w:rsidR="00A95039">
          <w:rPr>
            <w:noProof/>
            <w:webHidden/>
          </w:rPr>
          <w:fldChar w:fldCharType="separate"/>
        </w:r>
        <w:r w:rsidR="002B7633">
          <w:rPr>
            <w:noProof/>
            <w:webHidden/>
          </w:rPr>
          <w:t>44</w:t>
        </w:r>
        <w:r w:rsidR="00A95039">
          <w:rPr>
            <w:noProof/>
            <w:webHidden/>
          </w:rPr>
          <w:fldChar w:fldCharType="end"/>
        </w:r>
      </w:hyperlink>
    </w:p>
    <w:p w14:paraId="7E97358A" w14:textId="77777777" w:rsidR="002B7633" w:rsidRDefault="00000000">
      <w:pPr>
        <w:pStyle w:val="TOC3"/>
        <w:tabs>
          <w:tab w:val="right" w:leader="dot" w:pos="8990"/>
        </w:tabs>
        <w:rPr>
          <w:rFonts w:asciiTheme="minorHAnsi" w:eastAsiaTheme="minorEastAsia" w:hAnsiTheme="minorHAnsi" w:cstheme="minorBidi"/>
          <w:noProof/>
        </w:rPr>
      </w:pPr>
      <w:hyperlink w:anchor="_Toc404357214" w:history="1">
        <w:r w:rsidR="002B7633" w:rsidRPr="005B2AED">
          <w:rPr>
            <w:rStyle w:val="Hyperlink"/>
            <w:noProof/>
          </w:rPr>
          <w:t>Taxation of Excess ESA Distributions</w:t>
        </w:r>
        <w:r w:rsidR="002B7633">
          <w:rPr>
            <w:noProof/>
            <w:webHidden/>
          </w:rPr>
          <w:tab/>
        </w:r>
        <w:r w:rsidR="00A95039">
          <w:rPr>
            <w:noProof/>
            <w:webHidden/>
          </w:rPr>
          <w:fldChar w:fldCharType="begin"/>
        </w:r>
        <w:r w:rsidR="002B7633">
          <w:rPr>
            <w:noProof/>
            <w:webHidden/>
          </w:rPr>
          <w:instrText xml:space="preserve"> PAGEREF _Toc404357214 \h </w:instrText>
        </w:r>
        <w:r w:rsidR="00A95039">
          <w:rPr>
            <w:noProof/>
            <w:webHidden/>
          </w:rPr>
        </w:r>
        <w:r w:rsidR="00A95039">
          <w:rPr>
            <w:noProof/>
            <w:webHidden/>
          </w:rPr>
          <w:fldChar w:fldCharType="separate"/>
        </w:r>
        <w:r w:rsidR="002B7633">
          <w:rPr>
            <w:noProof/>
            <w:webHidden/>
          </w:rPr>
          <w:t>44</w:t>
        </w:r>
        <w:r w:rsidR="00A95039">
          <w:rPr>
            <w:noProof/>
            <w:webHidden/>
          </w:rPr>
          <w:fldChar w:fldCharType="end"/>
        </w:r>
      </w:hyperlink>
    </w:p>
    <w:p w14:paraId="09EDF25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15"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_Toc404357215 \h </w:instrText>
        </w:r>
        <w:r w:rsidR="00A95039">
          <w:rPr>
            <w:noProof/>
            <w:webHidden/>
          </w:rPr>
        </w:r>
        <w:r w:rsidR="00A95039">
          <w:rPr>
            <w:noProof/>
            <w:webHidden/>
          </w:rPr>
          <w:fldChar w:fldCharType="separate"/>
        </w:r>
        <w:r w:rsidR="002B7633">
          <w:rPr>
            <w:noProof/>
            <w:webHidden/>
          </w:rPr>
          <w:t>45</w:t>
        </w:r>
        <w:r w:rsidR="00A95039">
          <w:rPr>
            <w:noProof/>
            <w:webHidden/>
          </w:rPr>
          <w:fldChar w:fldCharType="end"/>
        </w:r>
      </w:hyperlink>
    </w:p>
    <w:p w14:paraId="087682D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16" w:history="1">
        <w:r w:rsidR="002B7633" w:rsidRPr="005B2AED">
          <w:rPr>
            <w:rStyle w:val="Hyperlink"/>
            <w:noProof/>
          </w:rPr>
          <w:t>Review Quiz #6</w:t>
        </w:r>
        <w:r w:rsidR="002B7633">
          <w:rPr>
            <w:noProof/>
            <w:webHidden/>
          </w:rPr>
          <w:tab/>
        </w:r>
        <w:r w:rsidR="00A95039">
          <w:rPr>
            <w:noProof/>
            <w:webHidden/>
          </w:rPr>
          <w:fldChar w:fldCharType="begin"/>
        </w:r>
        <w:r w:rsidR="002B7633">
          <w:rPr>
            <w:noProof/>
            <w:webHidden/>
          </w:rPr>
          <w:instrText xml:space="preserve"> PAGEREF _Toc404357216 \h </w:instrText>
        </w:r>
        <w:r w:rsidR="00A95039">
          <w:rPr>
            <w:noProof/>
            <w:webHidden/>
          </w:rPr>
        </w:r>
        <w:r w:rsidR="00A95039">
          <w:rPr>
            <w:noProof/>
            <w:webHidden/>
          </w:rPr>
          <w:fldChar w:fldCharType="separate"/>
        </w:r>
        <w:r w:rsidR="002B7633">
          <w:rPr>
            <w:noProof/>
            <w:webHidden/>
          </w:rPr>
          <w:t>46</w:t>
        </w:r>
        <w:r w:rsidR="00A95039">
          <w:rPr>
            <w:noProof/>
            <w:webHidden/>
          </w:rPr>
          <w:fldChar w:fldCharType="end"/>
        </w:r>
      </w:hyperlink>
    </w:p>
    <w:p w14:paraId="458560E5"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17" w:history="1">
        <w:r w:rsidR="002B7633" w:rsidRPr="005B2AED">
          <w:rPr>
            <w:rStyle w:val="Hyperlink"/>
            <w:noProof/>
          </w:rPr>
          <w:t>Chapter 5 Simplified Employee Pension IRAs</w:t>
        </w:r>
        <w:r w:rsidR="002B7633">
          <w:rPr>
            <w:noProof/>
            <w:webHidden/>
          </w:rPr>
          <w:tab/>
        </w:r>
        <w:r w:rsidR="00A95039">
          <w:rPr>
            <w:noProof/>
            <w:webHidden/>
          </w:rPr>
          <w:fldChar w:fldCharType="begin"/>
        </w:r>
        <w:r w:rsidR="002B7633">
          <w:rPr>
            <w:noProof/>
            <w:webHidden/>
          </w:rPr>
          <w:instrText xml:space="preserve"> PAGEREF _Toc404357217 \h </w:instrText>
        </w:r>
        <w:r w:rsidR="00A95039">
          <w:rPr>
            <w:noProof/>
            <w:webHidden/>
          </w:rPr>
        </w:r>
        <w:r w:rsidR="00A95039">
          <w:rPr>
            <w:noProof/>
            <w:webHidden/>
          </w:rPr>
          <w:fldChar w:fldCharType="separate"/>
        </w:r>
        <w:r w:rsidR="002B7633">
          <w:rPr>
            <w:noProof/>
            <w:webHidden/>
          </w:rPr>
          <w:t>47</w:t>
        </w:r>
        <w:r w:rsidR="00A95039">
          <w:rPr>
            <w:noProof/>
            <w:webHidden/>
          </w:rPr>
          <w:fldChar w:fldCharType="end"/>
        </w:r>
      </w:hyperlink>
    </w:p>
    <w:p w14:paraId="28E30A48"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18"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_Toc404357218 \h </w:instrText>
        </w:r>
        <w:r w:rsidR="00A95039">
          <w:rPr>
            <w:noProof/>
            <w:webHidden/>
          </w:rPr>
        </w:r>
        <w:r w:rsidR="00A95039">
          <w:rPr>
            <w:noProof/>
            <w:webHidden/>
          </w:rPr>
          <w:fldChar w:fldCharType="separate"/>
        </w:r>
        <w:r w:rsidR="002B7633">
          <w:rPr>
            <w:noProof/>
            <w:webHidden/>
          </w:rPr>
          <w:t>47</w:t>
        </w:r>
        <w:r w:rsidR="00A95039">
          <w:rPr>
            <w:noProof/>
            <w:webHidden/>
          </w:rPr>
          <w:fldChar w:fldCharType="end"/>
        </w:r>
      </w:hyperlink>
    </w:p>
    <w:p w14:paraId="290E44E0"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19"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_Toc404357219 \h </w:instrText>
        </w:r>
        <w:r w:rsidR="00A95039">
          <w:rPr>
            <w:noProof/>
            <w:webHidden/>
          </w:rPr>
        </w:r>
        <w:r w:rsidR="00A95039">
          <w:rPr>
            <w:noProof/>
            <w:webHidden/>
          </w:rPr>
          <w:fldChar w:fldCharType="separate"/>
        </w:r>
        <w:r w:rsidR="002B7633">
          <w:rPr>
            <w:noProof/>
            <w:webHidden/>
          </w:rPr>
          <w:t>47</w:t>
        </w:r>
        <w:r w:rsidR="00A95039">
          <w:rPr>
            <w:noProof/>
            <w:webHidden/>
          </w:rPr>
          <w:fldChar w:fldCharType="end"/>
        </w:r>
      </w:hyperlink>
    </w:p>
    <w:p w14:paraId="2374FB40"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20" w:history="1">
        <w:r w:rsidR="002B7633" w:rsidRPr="005B2AED">
          <w:rPr>
            <w:rStyle w:val="Hyperlink"/>
            <w:noProof/>
          </w:rPr>
          <w:t>Introduction</w:t>
        </w:r>
        <w:r w:rsidR="002B7633">
          <w:rPr>
            <w:noProof/>
            <w:webHidden/>
          </w:rPr>
          <w:tab/>
        </w:r>
        <w:r w:rsidR="00A95039">
          <w:rPr>
            <w:noProof/>
            <w:webHidden/>
          </w:rPr>
          <w:fldChar w:fldCharType="begin"/>
        </w:r>
        <w:r w:rsidR="002B7633">
          <w:rPr>
            <w:noProof/>
            <w:webHidden/>
          </w:rPr>
          <w:instrText xml:space="preserve"> PAGEREF _Toc404357220 \h </w:instrText>
        </w:r>
        <w:r w:rsidR="00A95039">
          <w:rPr>
            <w:noProof/>
            <w:webHidden/>
          </w:rPr>
        </w:r>
        <w:r w:rsidR="00A95039">
          <w:rPr>
            <w:noProof/>
            <w:webHidden/>
          </w:rPr>
          <w:fldChar w:fldCharType="separate"/>
        </w:r>
        <w:r w:rsidR="002B7633">
          <w:rPr>
            <w:noProof/>
            <w:webHidden/>
          </w:rPr>
          <w:t>48</w:t>
        </w:r>
        <w:r w:rsidR="00A95039">
          <w:rPr>
            <w:noProof/>
            <w:webHidden/>
          </w:rPr>
          <w:fldChar w:fldCharType="end"/>
        </w:r>
      </w:hyperlink>
    </w:p>
    <w:p w14:paraId="59D790BA"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21" w:history="1">
        <w:r w:rsidR="002B7633" w:rsidRPr="005B2AED">
          <w:rPr>
            <w:rStyle w:val="Hyperlink"/>
            <w:noProof/>
          </w:rPr>
          <w:t>Contributions</w:t>
        </w:r>
        <w:r w:rsidR="002B7633">
          <w:rPr>
            <w:noProof/>
            <w:webHidden/>
          </w:rPr>
          <w:tab/>
        </w:r>
        <w:r w:rsidR="00A95039">
          <w:rPr>
            <w:noProof/>
            <w:webHidden/>
          </w:rPr>
          <w:fldChar w:fldCharType="begin"/>
        </w:r>
        <w:r w:rsidR="002B7633">
          <w:rPr>
            <w:noProof/>
            <w:webHidden/>
          </w:rPr>
          <w:instrText xml:space="preserve"> PAGEREF _Toc404357221 \h </w:instrText>
        </w:r>
        <w:r w:rsidR="00A95039">
          <w:rPr>
            <w:noProof/>
            <w:webHidden/>
          </w:rPr>
        </w:r>
        <w:r w:rsidR="00A95039">
          <w:rPr>
            <w:noProof/>
            <w:webHidden/>
          </w:rPr>
          <w:fldChar w:fldCharType="separate"/>
        </w:r>
        <w:r w:rsidR="002B7633">
          <w:rPr>
            <w:noProof/>
            <w:webHidden/>
          </w:rPr>
          <w:t>48</w:t>
        </w:r>
        <w:r w:rsidR="00A95039">
          <w:rPr>
            <w:noProof/>
            <w:webHidden/>
          </w:rPr>
          <w:fldChar w:fldCharType="end"/>
        </w:r>
      </w:hyperlink>
    </w:p>
    <w:p w14:paraId="3DD81E8A" w14:textId="77777777" w:rsidR="002B7633" w:rsidRDefault="00000000">
      <w:pPr>
        <w:pStyle w:val="TOC3"/>
        <w:tabs>
          <w:tab w:val="right" w:leader="dot" w:pos="8990"/>
        </w:tabs>
        <w:rPr>
          <w:rFonts w:asciiTheme="minorHAnsi" w:eastAsiaTheme="minorEastAsia" w:hAnsiTheme="minorHAnsi" w:cstheme="minorBidi"/>
          <w:noProof/>
        </w:rPr>
      </w:pPr>
      <w:hyperlink w:anchor="_Toc404357222" w:history="1">
        <w:r w:rsidR="002B7633" w:rsidRPr="005B2AED">
          <w:rPr>
            <w:rStyle w:val="Hyperlink"/>
            <w:noProof/>
          </w:rPr>
          <w:t>Defined Contribution Plan Limits Apply</w:t>
        </w:r>
        <w:r w:rsidR="002B7633">
          <w:rPr>
            <w:noProof/>
            <w:webHidden/>
          </w:rPr>
          <w:tab/>
        </w:r>
        <w:r w:rsidR="00A95039">
          <w:rPr>
            <w:noProof/>
            <w:webHidden/>
          </w:rPr>
          <w:fldChar w:fldCharType="begin"/>
        </w:r>
        <w:r w:rsidR="002B7633">
          <w:rPr>
            <w:noProof/>
            <w:webHidden/>
          </w:rPr>
          <w:instrText xml:space="preserve"> PAGEREF _Toc404357222 \h </w:instrText>
        </w:r>
        <w:r w:rsidR="00A95039">
          <w:rPr>
            <w:noProof/>
            <w:webHidden/>
          </w:rPr>
        </w:r>
        <w:r w:rsidR="00A95039">
          <w:rPr>
            <w:noProof/>
            <w:webHidden/>
          </w:rPr>
          <w:fldChar w:fldCharType="separate"/>
        </w:r>
        <w:r w:rsidR="002B7633">
          <w:rPr>
            <w:noProof/>
            <w:webHidden/>
          </w:rPr>
          <w:t>49</w:t>
        </w:r>
        <w:r w:rsidR="00A95039">
          <w:rPr>
            <w:noProof/>
            <w:webHidden/>
          </w:rPr>
          <w:fldChar w:fldCharType="end"/>
        </w:r>
      </w:hyperlink>
    </w:p>
    <w:p w14:paraId="27186E59" w14:textId="77777777" w:rsidR="002B7633" w:rsidRDefault="00000000">
      <w:pPr>
        <w:pStyle w:val="TOC3"/>
        <w:tabs>
          <w:tab w:val="right" w:leader="dot" w:pos="8990"/>
        </w:tabs>
        <w:rPr>
          <w:rFonts w:asciiTheme="minorHAnsi" w:eastAsiaTheme="minorEastAsia" w:hAnsiTheme="minorHAnsi" w:cstheme="minorBidi"/>
          <w:noProof/>
        </w:rPr>
      </w:pPr>
      <w:hyperlink w:anchor="_Toc404357223" w:history="1">
        <w:r w:rsidR="002B7633" w:rsidRPr="005B2AED">
          <w:rPr>
            <w:rStyle w:val="Hyperlink"/>
            <w:noProof/>
          </w:rPr>
          <w:t>Certain Employees Must Be Included</w:t>
        </w:r>
        <w:r w:rsidR="002B7633">
          <w:rPr>
            <w:noProof/>
            <w:webHidden/>
          </w:rPr>
          <w:tab/>
        </w:r>
        <w:r w:rsidR="00A95039">
          <w:rPr>
            <w:noProof/>
            <w:webHidden/>
          </w:rPr>
          <w:fldChar w:fldCharType="begin"/>
        </w:r>
        <w:r w:rsidR="002B7633">
          <w:rPr>
            <w:noProof/>
            <w:webHidden/>
          </w:rPr>
          <w:instrText xml:space="preserve"> PAGEREF _Toc404357223 \h </w:instrText>
        </w:r>
        <w:r w:rsidR="00A95039">
          <w:rPr>
            <w:noProof/>
            <w:webHidden/>
          </w:rPr>
        </w:r>
        <w:r w:rsidR="00A95039">
          <w:rPr>
            <w:noProof/>
            <w:webHidden/>
          </w:rPr>
          <w:fldChar w:fldCharType="separate"/>
        </w:r>
        <w:r w:rsidR="002B7633">
          <w:rPr>
            <w:noProof/>
            <w:webHidden/>
          </w:rPr>
          <w:t>49</w:t>
        </w:r>
        <w:r w:rsidR="00A95039">
          <w:rPr>
            <w:noProof/>
            <w:webHidden/>
          </w:rPr>
          <w:fldChar w:fldCharType="end"/>
        </w:r>
      </w:hyperlink>
    </w:p>
    <w:p w14:paraId="6F4E1A7B" w14:textId="77777777" w:rsidR="002B7633" w:rsidRDefault="00000000">
      <w:pPr>
        <w:pStyle w:val="TOC3"/>
        <w:tabs>
          <w:tab w:val="right" w:leader="dot" w:pos="8990"/>
        </w:tabs>
        <w:rPr>
          <w:rFonts w:asciiTheme="minorHAnsi" w:eastAsiaTheme="minorEastAsia" w:hAnsiTheme="minorHAnsi" w:cstheme="minorBidi"/>
          <w:noProof/>
        </w:rPr>
      </w:pPr>
      <w:hyperlink w:anchor="_Toc404357224" w:history="1">
        <w:r w:rsidR="002B7633" w:rsidRPr="005B2AED">
          <w:rPr>
            <w:rStyle w:val="Hyperlink"/>
            <w:noProof/>
          </w:rPr>
          <w:t>SEP Integration Permitted</w:t>
        </w:r>
        <w:r w:rsidR="002B7633">
          <w:rPr>
            <w:noProof/>
            <w:webHidden/>
          </w:rPr>
          <w:tab/>
        </w:r>
        <w:r w:rsidR="00A95039">
          <w:rPr>
            <w:noProof/>
            <w:webHidden/>
          </w:rPr>
          <w:fldChar w:fldCharType="begin"/>
        </w:r>
        <w:r w:rsidR="002B7633">
          <w:rPr>
            <w:noProof/>
            <w:webHidden/>
          </w:rPr>
          <w:instrText xml:space="preserve"> PAGEREF _Toc404357224 \h </w:instrText>
        </w:r>
        <w:r w:rsidR="00A95039">
          <w:rPr>
            <w:noProof/>
            <w:webHidden/>
          </w:rPr>
        </w:r>
        <w:r w:rsidR="00A95039">
          <w:rPr>
            <w:noProof/>
            <w:webHidden/>
          </w:rPr>
          <w:fldChar w:fldCharType="separate"/>
        </w:r>
        <w:r w:rsidR="002B7633">
          <w:rPr>
            <w:noProof/>
            <w:webHidden/>
          </w:rPr>
          <w:t>49</w:t>
        </w:r>
        <w:r w:rsidR="00A95039">
          <w:rPr>
            <w:noProof/>
            <w:webHidden/>
          </w:rPr>
          <w:fldChar w:fldCharType="end"/>
        </w:r>
      </w:hyperlink>
    </w:p>
    <w:p w14:paraId="225ACBD5" w14:textId="77777777" w:rsidR="002B7633" w:rsidRDefault="00000000">
      <w:pPr>
        <w:pStyle w:val="TOC3"/>
        <w:tabs>
          <w:tab w:val="right" w:leader="dot" w:pos="8990"/>
        </w:tabs>
        <w:rPr>
          <w:rFonts w:asciiTheme="minorHAnsi" w:eastAsiaTheme="minorEastAsia" w:hAnsiTheme="minorHAnsi" w:cstheme="minorBidi"/>
          <w:noProof/>
        </w:rPr>
      </w:pPr>
      <w:hyperlink w:anchor="_Toc404357225" w:history="1">
        <w:r w:rsidR="002B7633" w:rsidRPr="005B2AED">
          <w:rPr>
            <w:rStyle w:val="Hyperlink"/>
            <w:noProof/>
          </w:rPr>
          <w:t>Employee Plan Contributions Permitted</w:t>
        </w:r>
        <w:r w:rsidR="002B7633">
          <w:rPr>
            <w:noProof/>
            <w:webHidden/>
          </w:rPr>
          <w:tab/>
        </w:r>
        <w:r w:rsidR="00A95039">
          <w:rPr>
            <w:noProof/>
            <w:webHidden/>
          </w:rPr>
          <w:fldChar w:fldCharType="begin"/>
        </w:r>
        <w:r w:rsidR="002B7633">
          <w:rPr>
            <w:noProof/>
            <w:webHidden/>
          </w:rPr>
          <w:instrText xml:space="preserve"> PAGEREF _Toc404357225 \h </w:instrText>
        </w:r>
        <w:r w:rsidR="00A95039">
          <w:rPr>
            <w:noProof/>
            <w:webHidden/>
          </w:rPr>
        </w:r>
        <w:r w:rsidR="00A95039">
          <w:rPr>
            <w:noProof/>
            <w:webHidden/>
          </w:rPr>
          <w:fldChar w:fldCharType="separate"/>
        </w:r>
        <w:r w:rsidR="002B7633">
          <w:rPr>
            <w:noProof/>
            <w:webHidden/>
          </w:rPr>
          <w:t>50</w:t>
        </w:r>
        <w:r w:rsidR="00A95039">
          <w:rPr>
            <w:noProof/>
            <w:webHidden/>
          </w:rPr>
          <w:fldChar w:fldCharType="end"/>
        </w:r>
      </w:hyperlink>
    </w:p>
    <w:p w14:paraId="104A7AA1"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26" w:history="1">
        <w:r w:rsidR="002B7633" w:rsidRPr="005B2AED">
          <w:rPr>
            <w:rStyle w:val="Hyperlink"/>
            <w:noProof/>
          </w:rPr>
          <w:t>Active Participant Rules Apply to Employee Contributions</w:t>
        </w:r>
        <w:r w:rsidR="002B7633">
          <w:rPr>
            <w:noProof/>
            <w:webHidden/>
          </w:rPr>
          <w:tab/>
        </w:r>
        <w:r w:rsidR="00A95039">
          <w:rPr>
            <w:noProof/>
            <w:webHidden/>
          </w:rPr>
          <w:fldChar w:fldCharType="begin"/>
        </w:r>
        <w:r w:rsidR="002B7633">
          <w:rPr>
            <w:noProof/>
            <w:webHidden/>
          </w:rPr>
          <w:instrText xml:space="preserve"> PAGEREF _Toc404357226 \h </w:instrText>
        </w:r>
        <w:r w:rsidR="00A95039">
          <w:rPr>
            <w:noProof/>
            <w:webHidden/>
          </w:rPr>
        </w:r>
        <w:r w:rsidR="00A95039">
          <w:rPr>
            <w:noProof/>
            <w:webHidden/>
          </w:rPr>
          <w:fldChar w:fldCharType="separate"/>
        </w:r>
        <w:r w:rsidR="002B7633">
          <w:rPr>
            <w:noProof/>
            <w:webHidden/>
          </w:rPr>
          <w:t>51</w:t>
        </w:r>
        <w:r w:rsidR="00A95039">
          <w:rPr>
            <w:noProof/>
            <w:webHidden/>
          </w:rPr>
          <w:fldChar w:fldCharType="end"/>
        </w:r>
      </w:hyperlink>
    </w:p>
    <w:p w14:paraId="144F3A93"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27" w:history="1">
        <w:r w:rsidR="002B7633" w:rsidRPr="005B2AED">
          <w:rPr>
            <w:rStyle w:val="Hyperlink"/>
            <w:noProof/>
          </w:rPr>
          <w:t>Distributions</w:t>
        </w:r>
        <w:r w:rsidR="002B7633">
          <w:rPr>
            <w:noProof/>
            <w:webHidden/>
          </w:rPr>
          <w:tab/>
        </w:r>
        <w:r w:rsidR="00A95039">
          <w:rPr>
            <w:noProof/>
            <w:webHidden/>
          </w:rPr>
          <w:fldChar w:fldCharType="begin"/>
        </w:r>
        <w:r w:rsidR="002B7633">
          <w:rPr>
            <w:noProof/>
            <w:webHidden/>
          </w:rPr>
          <w:instrText xml:space="preserve"> PAGEREF _Toc404357227 \h </w:instrText>
        </w:r>
        <w:r w:rsidR="00A95039">
          <w:rPr>
            <w:noProof/>
            <w:webHidden/>
          </w:rPr>
        </w:r>
        <w:r w:rsidR="00A95039">
          <w:rPr>
            <w:noProof/>
            <w:webHidden/>
          </w:rPr>
          <w:fldChar w:fldCharType="separate"/>
        </w:r>
        <w:r w:rsidR="002B7633">
          <w:rPr>
            <w:noProof/>
            <w:webHidden/>
          </w:rPr>
          <w:t>51</w:t>
        </w:r>
        <w:r w:rsidR="00A95039">
          <w:rPr>
            <w:noProof/>
            <w:webHidden/>
          </w:rPr>
          <w:fldChar w:fldCharType="end"/>
        </w:r>
      </w:hyperlink>
    </w:p>
    <w:p w14:paraId="3E86C2D7" w14:textId="77777777" w:rsidR="002B7633" w:rsidRDefault="00000000">
      <w:pPr>
        <w:pStyle w:val="TOC3"/>
        <w:tabs>
          <w:tab w:val="right" w:leader="dot" w:pos="8990"/>
        </w:tabs>
        <w:rPr>
          <w:rFonts w:asciiTheme="minorHAnsi" w:eastAsiaTheme="minorEastAsia" w:hAnsiTheme="minorHAnsi" w:cstheme="minorBidi"/>
          <w:noProof/>
        </w:rPr>
      </w:pPr>
      <w:hyperlink w:anchor="_Toc404357228" w:history="1">
        <w:r w:rsidR="002B7633" w:rsidRPr="005B2AED">
          <w:rPr>
            <w:rStyle w:val="Hyperlink"/>
            <w:noProof/>
          </w:rPr>
          <w:t>Regular Distributions</w:t>
        </w:r>
        <w:r w:rsidR="002B7633">
          <w:rPr>
            <w:noProof/>
            <w:webHidden/>
          </w:rPr>
          <w:tab/>
        </w:r>
        <w:r w:rsidR="00A95039">
          <w:rPr>
            <w:noProof/>
            <w:webHidden/>
          </w:rPr>
          <w:fldChar w:fldCharType="begin"/>
        </w:r>
        <w:r w:rsidR="002B7633">
          <w:rPr>
            <w:noProof/>
            <w:webHidden/>
          </w:rPr>
          <w:instrText xml:space="preserve"> PAGEREF _Toc404357228 \h </w:instrText>
        </w:r>
        <w:r w:rsidR="00A95039">
          <w:rPr>
            <w:noProof/>
            <w:webHidden/>
          </w:rPr>
        </w:r>
        <w:r w:rsidR="00A95039">
          <w:rPr>
            <w:noProof/>
            <w:webHidden/>
          </w:rPr>
          <w:fldChar w:fldCharType="separate"/>
        </w:r>
        <w:r w:rsidR="002B7633">
          <w:rPr>
            <w:noProof/>
            <w:webHidden/>
          </w:rPr>
          <w:t>52</w:t>
        </w:r>
        <w:r w:rsidR="00A95039">
          <w:rPr>
            <w:noProof/>
            <w:webHidden/>
          </w:rPr>
          <w:fldChar w:fldCharType="end"/>
        </w:r>
      </w:hyperlink>
    </w:p>
    <w:p w14:paraId="52ED76BD" w14:textId="77777777" w:rsidR="002B7633" w:rsidRDefault="00000000">
      <w:pPr>
        <w:pStyle w:val="TOC3"/>
        <w:tabs>
          <w:tab w:val="right" w:leader="dot" w:pos="8990"/>
        </w:tabs>
        <w:rPr>
          <w:rFonts w:asciiTheme="minorHAnsi" w:eastAsiaTheme="minorEastAsia" w:hAnsiTheme="minorHAnsi" w:cstheme="minorBidi"/>
          <w:noProof/>
        </w:rPr>
      </w:pPr>
      <w:hyperlink w:anchor="_Toc404357229" w:history="1">
        <w:r w:rsidR="002B7633" w:rsidRPr="005B2AED">
          <w:rPr>
            <w:rStyle w:val="Hyperlink"/>
            <w:noProof/>
          </w:rPr>
          <w:t>Premature Distributions</w:t>
        </w:r>
        <w:r w:rsidR="002B7633">
          <w:rPr>
            <w:noProof/>
            <w:webHidden/>
          </w:rPr>
          <w:tab/>
        </w:r>
        <w:r w:rsidR="00A95039">
          <w:rPr>
            <w:noProof/>
            <w:webHidden/>
          </w:rPr>
          <w:fldChar w:fldCharType="begin"/>
        </w:r>
        <w:r w:rsidR="002B7633">
          <w:rPr>
            <w:noProof/>
            <w:webHidden/>
          </w:rPr>
          <w:instrText xml:space="preserve"> PAGEREF _Toc404357229 \h </w:instrText>
        </w:r>
        <w:r w:rsidR="00A95039">
          <w:rPr>
            <w:noProof/>
            <w:webHidden/>
          </w:rPr>
        </w:r>
        <w:r w:rsidR="00A95039">
          <w:rPr>
            <w:noProof/>
            <w:webHidden/>
          </w:rPr>
          <w:fldChar w:fldCharType="separate"/>
        </w:r>
        <w:r w:rsidR="002B7633">
          <w:rPr>
            <w:noProof/>
            <w:webHidden/>
          </w:rPr>
          <w:t>52</w:t>
        </w:r>
        <w:r w:rsidR="00A95039">
          <w:rPr>
            <w:noProof/>
            <w:webHidden/>
          </w:rPr>
          <w:fldChar w:fldCharType="end"/>
        </w:r>
      </w:hyperlink>
    </w:p>
    <w:p w14:paraId="7AF1192F" w14:textId="77777777" w:rsidR="002B7633" w:rsidRDefault="00000000">
      <w:pPr>
        <w:pStyle w:val="TOC3"/>
        <w:tabs>
          <w:tab w:val="right" w:leader="dot" w:pos="8990"/>
        </w:tabs>
        <w:rPr>
          <w:rFonts w:asciiTheme="minorHAnsi" w:eastAsiaTheme="minorEastAsia" w:hAnsiTheme="minorHAnsi" w:cstheme="minorBidi"/>
          <w:noProof/>
        </w:rPr>
      </w:pPr>
      <w:hyperlink w:anchor="_Toc404357230" w:history="1">
        <w:r w:rsidR="002B7633" w:rsidRPr="005B2AED">
          <w:rPr>
            <w:rStyle w:val="Hyperlink"/>
            <w:noProof/>
          </w:rPr>
          <w:t>Required Minimum Distributions</w:t>
        </w:r>
        <w:r w:rsidR="002B7633">
          <w:rPr>
            <w:noProof/>
            <w:webHidden/>
          </w:rPr>
          <w:tab/>
        </w:r>
        <w:r w:rsidR="00A95039">
          <w:rPr>
            <w:noProof/>
            <w:webHidden/>
          </w:rPr>
          <w:fldChar w:fldCharType="begin"/>
        </w:r>
        <w:r w:rsidR="002B7633">
          <w:rPr>
            <w:noProof/>
            <w:webHidden/>
          </w:rPr>
          <w:instrText xml:space="preserve"> PAGEREF _Toc404357230 \h </w:instrText>
        </w:r>
        <w:r w:rsidR="00A95039">
          <w:rPr>
            <w:noProof/>
            <w:webHidden/>
          </w:rPr>
        </w:r>
        <w:r w:rsidR="00A95039">
          <w:rPr>
            <w:noProof/>
            <w:webHidden/>
          </w:rPr>
          <w:fldChar w:fldCharType="separate"/>
        </w:r>
        <w:r w:rsidR="002B7633">
          <w:rPr>
            <w:noProof/>
            <w:webHidden/>
          </w:rPr>
          <w:t>53</w:t>
        </w:r>
        <w:r w:rsidR="00A95039">
          <w:rPr>
            <w:noProof/>
            <w:webHidden/>
          </w:rPr>
          <w:fldChar w:fldCharType="end"/>
        </w:r>
      </w:hyperlink>
    </w:p>
    <w:p w14:paraId="0E6008D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1" w:history="1">
        <w:r w:rsidR="002B7633" w:rsidRPr="005B2AED">
          <w:rPr>
            <w:rStyle w:val="Hyperlink"/>
            <w:noProof/>
          </w:rPr>
          <w:t>SEP Rollovers</w:t>
        </w:r>
        <w:r w:rsidR="002B7633">
          <w:rPr>
            <w:noProof/>
            <w:webHidden/>
          </w:rPr>
          <w:tab/>
        </w:r>
        <w:r w:rsidR="00A95039">
          <w:rPr>
            <w:noProof/>
            <w:webHidden/>
          </w:rPr>
          <w:fldChar w:fldCharType="begin"/>
        </w:r>
        <w:r w:rsidR="002B7633">
          <w:rPr>
            <w:noProof/>
            <w:webHidden/>
          </w:rPr>
          <w:instrText xml:space="preserve"> PAGEREF _Toc404357231 \h </w:instrText>
        </w:r>
        <w:r w:rsidR="00A95039">
          <w:rPr>
            <w:noProof/>
            <w:webHidden/>
          </w:rPr>
        </w:r>
        <w:r w:rsidR="00A95039">
          <w:rPr>
            <w:noProof/>
            <w:webHidden/>
          </w:rPr>
          <w:fldChar w:fldCharType="separate"/>
        </w:r>
        <w:r w:rsidR="002B7633">
          <w:rPr>
            <w:noProof/>
            <w:webHidden/>
          </w:rPr>
          <w:t>53</w:t>
        </w:r>
        <w:r w:rsidR="00A95039">
          <w:rPr>
            <w:noProof/>
            <w:webHidden/>
          </w:rPr>
          <w:fldChar w:fldCharType="end"/>
        </w:r>
      </w:hyperlink>
    </w:p>
    <w:p w14:paraId="153F5E19"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2"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_Toc404357232 \h </w:instrText>
        </w:r>
        <w:r w:rsidR="00A95039">
          <w:rPr>
            <w:noProof/>
            <w:webHidden/>
          </w:rPr>
        </w:r>
        <w:r w:rsidR="00A95039">
          <w:rPr>
            <w:noProof/>
            <w:webHidden/>
          </w:rPr>
          <w:fldChar w:fldCharType="separate"/>
        </w:r>
        <w:r w:rsidR="002B7633">
          <w:rPr>
            <w:noProof/>
            <w:webHidden/>
          </w:rPr>
          <w:t>54</w:t>
        </w:r>
        <w:r w:rsidR="00A95039">
          <w:rPr>
            <w:noProof/>
            <w:webHidden/>
          </w:rPr>
          <w:fldChar w:fldCharType="end"/>
        </w:r>
      </w:hyperlink>
    </w:p>
    <w:p w14:paraId="3B09979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3" w:history="1">
        <w:r w:rsidR="002B7633" w:rsidRPr="005B2AED">
          <w:rPr>
            <w:rStyle w:val="Hyperlink"/>
            <w:noProof/>
          </w:rPr>
          <w:t>Review Quiz #7</w:t>
        </w:r>
        <w:r w:rsidR="002B7633">
          <w:rPr>
            <w:noProof/>
            <w:webHidden/>
          </w:rPr>
          <w:tab/>
        </w:r>
        <w:r w:rsidR="00A95039">
          <w:rPr>
            <w:noProof/>
            <w:webHidden/>
          </w:rPr>
          <w:fldChar w:fldCharType="begin"/>
        </w:r>
        <w:r w:rsidR="002B7633">
          <w:rPr>
            <w:noProof/>
            <w:webHidden/>
          </w:rPr>
          <w:instrText xml:space="preserve"> PAGEREF _Toc404357233 \h </w:instrText>
        </w:r>
        <w:r w:rsidR="00A95039">
          <w:rPr>
            <w:noProof/>
            <w:webHidden/>
          </w:rPr>
        </w:r>
        <w:r w:rsidR="00A95039">
          <w:rPr>
            <w:noProof/>
            <w:webHidden/>
          </w:rPr>
          <w:fldChar w:fldCharType="separate"/>
        </w:r>
        <w:r w:rsidR="002B7633">
          <w:rPr>
            <w:noProof/>
            <w:webHidden/>
          </w:rPr>
          <w:t>54</w:t>
        </w:r>
        <w:r w:rsidR="00A95039">
          <w:rPr>
            <w:noProof/>
            <w:webHidden/>
          </w:rPr>
          <w:fldChar w:fldCharType="end"/>
        </w:r>
      </w:hyperlink>
    </w:p>
    <w:p w14:paraId="7A09194D"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34" w:history="1">
        <w:r w:rsidR="002B7633" w:rsidRPr="005B2AED">
          <w:rPr>
            <w:rStyle w:val="Hyperlink"/>
            <w:noProof/>
          </w:rPr>
          <w:t>Chapter 6 SIMPLE IRAs</w:t>
        </w:r>
        <w:r w:rsidR="002B7633">
          <w:rPr>
            <w:noProof/>
            <w:webHidden/>
          </w:rPr>
          <w:tab/>
        </w:r>
        <w:r w:rsidR="00A95039">
          <w:rPr>
            <w:noProof/>
            <w:webHidden/>
          </w:rPr>
          <w:fldChar w:fldCharType="begin"/>
        </w:r>
        <w:r w:rsidR="002B7633">
          <w:rPr>
            <w:noProof/>
            <w:webHidden/>
          </w:rPr>
          <w:instrText xml:space="preserve"> PAGEREF _Toc404357234 \h </w:instrText>
        </w:r>
        <w:r w:rsidR="00A95039">
          <w:rPr>
            <w:noProof/>
            <w:webHidden/>
          </w:rPr>
        </w:r>
        <w:r w:rsidR="00A95039">
          <w:rPr>
            <w:noProof/>
            <w:webHidden/>
          </w:rPr>
          <w:fldChar w:fldCharType="separate"/>
        </w:r>
        <w:r w:rsidR="002B7633">
          <w:rPr>
            <w:noProof/>
            <w:webHidden/>
          </w:rPr>
          <w:t>56</w:t>
        </w:r>
        <w:r w:rsidR="00A95039">
          <w:rPr>
            <w:noProof/>
            <w:webHidden/>
          </w:rPr>
          <w:fldChar w:fldCharType="end"/>
        </w:r>
      </w:hyperlink>
    </w:p>
    <w:p w14:paraId="4A1C879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5" w:history="1">
        <w:r w:rsidR="002B7633" w:rsidRPr="005B2AED">
          <w:rPr>
            <w:rStyle w:val="Hyperlink"/>
            <w:noProof/>
          </w:rPr>
          <w:t>Important Lesson Points</w:t>
        </w:r>
        <w:r w:rsidR="002B7633">
          <w:rPr>
            <w:noProof/>
            <w:webHidden/>
          </w:rPr>
          <w:tab/>
        </w:r>
        <w:r w:rsidR="00A95039">
          <w:rPr>
            <w:noProof/>
            <w:webHidden/>
          </w:rPr>
          <w:fldChar w:fldCharType="begin"/>
        </w:r>
        <w:r w:rsidR="002B7633">
          <w:rPr>
            <w:noProof/>
            <w:webHidden/>
          </w:rPr>
          <w:instrText xml:space="preserve"> PAGEREF _Toc404357235 \h </w:instrText>
        </w:r>
        <w:r w:rsidR="00A95039">
          <w:rPr>
            <w:noProof/>
            <w:webHidden/>
          </w:rPr>
        </w:r>
        <w:r w:rsidR="00A95039">
          <w:rPr>
            <w:noProof/>
            <w:webHidden/>
          </w:rPr>
          <w:fldChar w:fldCharType="separate"/>
        </w:r>
        <w:r w:rsidR="002B7633">
          <w:rPr>
            <w:noProof/>
            <w:webHidden/>
          </w:rPr>
          <w:t>56</w:t>
        </w:r>
        <w:r w:rsidR="00A95039">
          <w:rPr>
            <w:noProof/>
            <w:webHidden/>
          </w:rPr>
          <w:fldChar w:fldCharType="end"/>
        </w:r>
      </w:hyperlink>
    </w:p>
    <w:p w14:paraId="4389DBC2"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6" w:history="1">
        <w:r w:rsidR="002B7633" w:rsidRPr="005B2AED">
          <w:rPr>
            <w:rStyle w:val="Hyperlink"/>
            <w:noProof/>
          </w:rPr>
          <w:t>Chapter Learning Objectives</w:t>
        </w:r>
        <w:r w:rsidR="002B7633">
          <w:rPr>
            <w:noProof/>
            <w:webHidden/>
          </w:rPr>
          <w:tab/>
        </w:r>
        <w:r w:rsidR="00A95039">
          <w:rPr>
            <w:noProof/>
            <w:webHidden/>
          </w:rPr>
          <w:fldChar w:fldCharType="begin"/>
        </w:r>
        <w:r w:rsidR="002B7633">
          <w:rPr>
            <w:noProof/>
            <w:webHidden/>
          </w:rPr>
          <w:instrText xml:space="preserve"> PAGEREF _Toc404357236 \h </w:instrText>
        </w:r>
        <w:r w:rsidR="00A95039">
          <w:rPr>
            <w:noProof/>
            <w:webHidden/>
          </w:rPr>
        </w:r>
        <w:r w:rsidR="00A95039">
          <w:rPr>
            <w:noProof/>
            <w:webHidden/>
          </w:rPr>
          <w:fldChar w:fldCharType="separate"/>
        </w:r>
        <w:r w:rsidR="002B7633">
          <w:rPr>
            <w:noProof/>
            <w:webHidden/>
          </w:rPr>
          <w:t>56</w:t>
        </w:r>
        <w:r w:rsidR="00A95039">
          <w:rPr>
            <w:noProof/>
            <w:webHidden/>
          </w:rPr>
          <w:fldChar w:fldCharType="end"/>
        </w:r>
      </w:hyperlink>
    </w:p>
    <w:p w14:paraId="1AC074A6"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37" w:history="1">
        <w:r w:rsidR="002B7633" w:rsidRPr="005B2AED">
          <w:rPr>
            <w:rStyle w:val="Hyperlink"/>
            <w:noProof/>
          </w:rPr>
          <w:t>Definition &amp; Eligibility</w:t>
        </w:r>
        <w:r w:rsidR="002B7633">
          <w:rPr>
            <w:noProof/>
            <w:webHidden/>
          </w:rPr>
          <w:tab/>
        </w:r>
        <w:r w:rsidR="00A95039">
          <w:rPr>
            <w:noProof/>
            <w:webHidden/>
          </w:rPr>
          <w:fldChar w:fldCharType="begin"/>
        </w:r>
        <w:r w:rsidR="002B7633">
          <w:rPr>
            <w:noProof/>
            <w:webHidden/>
          </w:rPr>
          <w:instrText xml:space="preserve"> PAGEREF _Toc404357237 \h </w:instrText>
        </w:r>
        <w:r w:rsidR="00A95039">
          <w:rPr>
            <w:noProof/>
            <w:webHidden/>
          </w:rPr>
        </w:r>
        <w:r w:rsidR="00A95039">
          <w:rPr>
            <w:noProof/>
            <w:webHidden/>
          </w:rPr>
          <w:fldChar w:fldCharType="separate"/>
        </w:r>
        <w:r w:rsidR="002B7633">
          <w:rPr>
            <w:noProof/>
            <w:webHidden/>
          </w:rPr>
          <w:t>57</w:t>
        </w:r>
        <w:r w:rsidR="00A95039">
          <w:rPr>
            <w:noProof/>
            <w:webHidden/>
          </w:rPr>
          <w:fldChar w:fldCharType="end"/>
        </w:r>
      </w:hyperlink>
    </w:p>
    <w:p w14:paraId="6447CF9B" w14:textId="77777777" w:rsidR="002B7633" w:rsidRDefault="00000000">
      <w:pPr>
        <w:pStyle w:val="TOC3"/>
        <w:tabs>
          <w:tab w:val="right" w:leader="dot" w:pos="8990"/>
        </w:tabs>
        <w:rPr>
          <w:rFonts w:asciiTheme="minorHAnsi" w:eastAsiaTheme="minorEastAsia" w:hAnsiTheme="minorHAnsi" w:cstheme="minorBidi"/>
          <w:noProof/>
        </w:rPr>
      </w:pPr>
      <w:hyperlink w:anchor="_Toc404357238" w:history="1">
        <w:r w:rsidR="002B7633" w:rsidRPr="005B2AED">
          <w:rPr>
            <w:rStyle w:val="Hyperlink"/>
            <w:noProof/>
          </w:rPr>
          <w:t>SIMPLEs Offer Less Expensive Alternative to Qualified Plans</w:t>
        </w:r>
        <w:r w:rsidR="002B7633">
          <w:rPr>
            <w:noProof/>
            <w:webHidden/>
          </w:rPr>
          <w:tab/>
        </w:r>
        <w:r w:rsidR="00A95039">
          <w:rPr>
            <w:noProof/>
            <w:webHidden/>
          </w:rPr>
          <w:fldChar w:fldCharType="begin"/>
        </w:r>
        <w:r w:rsidR="002B7633">
          <w:rPr>
            <w:noProof/>
            <w:webHidden/>
          </w:rPr>
          <w:instrText xml:space="preserve"> PAGEREF _Toc404357238 \h </w:instrText>
        </w:r>
        <w:r w:rsidR="00A95039">
          <w:rPr>
            <w:noProof/>
            <w:webHidden/>
          </w:rPr>
        </w:r>
        <w:r w:rsidR="00A95039">
          <w:rPr>
            <w:noProof/>
            <w:webHidden/>
          </w:rPr>
          <w:fldChar w:fldCharType="separate"/>
        </w:r>
        <w:r w:rsidR="002B7633">
          <w:rPr>
            <w:noProof/>
            <w:webHidden/>
          </w:rPr>
          <w:t>57</w:t>
        </w:r>
        <w:r w:rsidR="00A95039">
          <w:rPr>
            <w:noProof/>
            <w:webHidden/>
          </w:rPr>
          <w:fldChar w:fldCharType="end"/>
        </w:r>
      </w:hyperlink>
    </w:p>
    <w:p w14:paraId="31F45C34" w14:textId="77777777" w:rsidR="002B7633" w:rsidRDefault="00000000">
      <w:pPr>
        <w:pStyle w:val="TOC3"/>
        <w:tabs>
          <w:tab w:val="right" w:leader="dot" w:pos="8990"/>
        </w:tabs>
        <w:rPr>
          <w:rFonts w:asciiTheme="minorHAnsi" w:eastAsiaTheme="minorEastAsia" w:hAnsiTheme="minorHAnsi" w:cstheme="minorBidi"/>
          <w:noProof/>
        </w:rPr>
      </w:pPr>
      <w:hyperlink w:anchor="_Toc404357239" w:history="1">
        <w:r w:rsidR="002B7633" w:rsidRPr="005B2AED">
          <w:rPr>
            <w:rStyle w:val="Hyperlink"/>
            <w:noProof/>
          </w:rPr>
          <w:t>SIMPLEs Restricted to Small Employers</w:t>
        </w:r>
        <w:r w:rsidR="002B7633">
          <w:rPr>
            <w:noProof/>
            <w:webHidden/>
          </w:rPr>
          <w:tab/>
        </w:r>
        <w:r w:rsidR="00A95039">
          <w:rPr>
            <w:noProof/>
            <w:webHidden/>
          </w:rPr>
          <w:fldChar w:fldCharType="begin"/>
        </w:r>
        <w:r w:rsidR="002B7633">
          <w:rPr>
            <w:noProof/>
            <w:webHidden/>
          </w:rPr>
          <w:instrText xml:space="preserve"> PAGEREF _Toc404357239 \h </w:instrText>
        </w:r>
        <w:r w:rsidR="00A95039">
          <w:rPr>
            <w:noProof/>
            <w:webHidden/>
          </w:rPr>
        </w:r>
        <w:r w:rsidR="00A95039">
          <w:rPr>
            <w:noProof/>
            <w:webHidden/>
          </w:rPr>
          <w:fldChar w:fldCharType="separate"/>
        </w:r>
        <w:r w:rsidR="002B7633">
          <w:rPr>
            <w:noProof/>
            <w:webHidden/>
          </w:rPr>
          <w:t>57</w:t>
        </w:r>
        <w:r w:rsidR="00A95039">
          <w:rPr>
            <w:noProof/>
            <w:webHidden/>
          </w:rPr>
          <w:fldChar w:fldCharType="end"/>
        </w:r>
      </w:hyperlink>
    </w:p>
    <w:p w14:paraId="06820A2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40" w:history="1">
        <w:r w:rsidR="002B7633" w:rsidRPr="005B2AED">
          <w:rPr>
            <w:rStyle w:val="Hyperlink"/>
            <w:noProof/>
          </w:rPr>
          <w:t>SIMPLE IRA Contributions</w:t>
        </w:r>
        <w:r w:rsidR="002B7633">
          <w:rPr>
            <w:noProof/>
            <w:webHidden/>
          </w:rPr>
          <w:tab/>
        </w:r>
        <w:r w:rsidR="00A95039">
          <w:rPr>
            <w:noProof/>
            <w:webHidden/>
          </w:rPr>
          <w:fldChar w:fldCharType="begin"/>
        </w:r>
        <w:r w:rsidR="002B7633">
          <w:rPr>
            <w:noProof/>
            <w:webHidden/>
          </w:rPr>
          <w:instrText xml:space="preserve"> PAGEREF _Toc404357240 \h </w:instrText>
        </w:r>
        <w:r w:rsidR="00A95039">
          <w:rPr>
            <w:noProof/>
            <w:webHidden/>
          </w:rPr>
        </w:r>
        <w:r w:rsidR="00A95039">
          <w:rPr>
            <w:noProof/>
            <w:webHidden/>
          </w:rPr>
          <w:fldChar w:fldCharType="separate"/>
        </w:r>
        <w:r w:rsidR="002B7633">
          <w:rPr>
            <w:noProof/>
            <w:webHidden/>
          </w:rPr>
          <w:t>57</w:t>
        </w:r>
        <w:r w:rsidR="00A95039">
          <w:rPr>
            <w:noProof/>
            <w:webHidden/>
          </w:rPr>
          <w:fldChar w:fldCharType="end"/>
        </w:r>
      </w:hyperlink>
    </w:p>
    <w:p w14:paraId="45CBB2FC" w14:textId="77777777" w:rsidR="002B7633" w:rsidRDefault="00000000">
      <w:pPr>
        <w:pStyle w:val="TOC3"/>
        <w:tabs>
          <w:tab w:val="right" w:leader="dot" w:pos="8990"/>
        </w:tabs>
        <w:rPr>
          <w:rFonts w:asciiTheme="minorHAnsi" w:eastAsiaTheme="minorEastAsia" w:hAnsiTheme="minorHAnsi" w:cstheme="minorBidi"/>
          <w:noProof/>
        </w:rPr>
      </w:pPr>
      <w:hyperlink w:anchor="_Toc404357241" w:history="1">
        <w:r w:rsidR="002B7633" w:rsidRPr="005B2AED">
          <w:rPr>
            <w:rStyle w:val="Hyperlink"/>
            <w:noProof/>
          </w:rPr>
          <w:t>Employee Elective Contributions</w:t>
        </w:r>
        <w:r w:rsidR="002B7633">
          <w:rPr>
            <w:noProof/>
            <w:webHidden/>
          </w:rPr>
          <w:tab/>
        </w:r>
        <w:r w:rsidR="00A95039">
          <w:rPr>
            <w:noProof/>
            <w:webHidden/>
          </w:rPr>
          <w:fldChar w:fldCharType="begin"/>
        </w:r>
        <w:r w:rsidR="002B7633">
          <w:rPr>
            <w:noProof/>
            <w:webHidden/>
          </w:rPr>
          <w:instrText xml:space="preserve"> PAGEREF _Toc404357241 \h </w:instrText>
        </w:r>
        <w:r w:rsidR="00A95039">
          <w:rPr>
            <w:noProof/>
            <w:webHidden/>
          </w:rPr>
        </w:r>
        <w:r w:rsidR="00A95039">
          <w:rPr>
            <w:noProof/>
            <w:webHidden/>
          </w:rPr>
          <w:fldChar w:fldCharType="separate"/>
        </w:r>
        <w:r w:rsidR="002B7633">
          <w:rPr>
            <w:noProof/>
            <w:webHidden/>
          </w:rPr>
          <w:t>58</w:t>
        </w:r>
        <w:r w:rsidR="00A95039">
          <w:rPr>
            <w:noProof/>
            <w:webHidden/>
          </w:rPr>
          <w:fldChar w:fldCharType="end"/>
        </w:r>
      </w:hyperlink>
    </w:p>
    <w:p w14:paraId="329E5852"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42" w:history="1">
        <w:r w:rsidR="002B7633" w:rsidRPr="005B2AED">
          <w:rPr>
            <w:rStyle w:val="Hyperlink"/>
            <w:noProof/>
          </w:rPr>
          <w:t>Catch-up Contributions</w:t>
        </w:r>
        <w:r w:rsidR="002B7633">
          <w:rPr>
            <w:noProof/>
            <w:webHidden/>
          </w:rPr>
          <w:tab/>
        </w:r>
        <w:r w:rsidR="00A95039">
          <w:rPr>
            <w:noProof/>
            <w:webHidden/>
          </w:rPr>
          <w:fldChar w:fldCharType="begin"/>
        </w:r>
        <w:r w:rsidR="002B7633">
          <w:rPr>
            <w:noProof/>
            <w:webHidden/>
          </w:rPr>
          <w:instrText xml:space="preserve"> PAGEREF _Toc404357242 \h </w:instrText>
        </w:r>
        <w:r w:rsidR="00A95039">
          <w:rPr>
            <w:noProof/>
            <w:webHidden/>
          </w:rPr>
        </w:r>
        <w:r w:rsidR="00A95039">
          <w:rPr>
            <w:noProof/>
            <w:webHidden/>
          </w:rPr>
          <w:fldChar w:fldCharType="separate"/>
        </w:r>
        <w:r w:rsidR="002B7633">
          <w:rPr>
            <w:noProof/>
            <w:webHidden/>
          </w:rPr>
          <w:t>58</w:t>
        </w:r>
        <w:r w:rsidR="00A95039">
          <w:rPr>
            <w:noProof/>
            <w:webHidden/>
          </w:rPr>
          <w:fldChar w:fldCharType="end"/>
        </w:r>
      </w:hyperlink>
    </w:p>
    <w:p w14:paraId="7FAF1568" w14:textId="77777777" w:rsidR="002B7633" w:rsidRDefault="00000000">
      <w:pPr>
        <w:pStyle w:val="TOC3"/>
        <w:tabs>
          <w:tab w:val="right" w:leader="dot" w:pos="8990"/>
        </w:tabs>
        <w:rPr>
          <w:rFonts w:asciiTheme="minorHAnsi" w:eastAsiaTheme="minorEastAsia" w:hAnsiTheme="minorHAnsi" w:cstheme="minorBidi"/>
          <w:noProof/>
        </w:rPr>
      </w:pPr>
      <w:hyperlink w:anchor="_Toc404357243" w:history="1">
        <w:r w:rsidR="002B7633" w:rsidRPr="005B2AED">
          <w:rPr>
            <w:rStyle w:val="Hyperlink"/>
            <w:noProof/>
          </w:rPr>
          <w:t>Matching Employer Contributions</w:t>
        </w:r>
        <w:r w:rsidR="002B7633">
          <w:rPr>
            <w:noProof/>
            <w:webHidden/>
          </w:rPr>
          <w:tab/>
        </w:r>
        <w:r w:rsidR="00A95039">
          <w:rPr>
            <w:noProof/>
            <w:webHidden/>
          </w:rPr>
          <w:fldChar w:fldCharType="begin"/>
        </w:r>
        <w:r w:rsidR="002B7633">
          <w:rPr>
            <w:noProof/>
            <w:webHidden/>
          </w:rPr>
          <w:instrText xml:space="preserve"> PAGEREF _Toc404357243 \h </w:instrText>
        </w:r>
        <w:r w:rsidR="00A95039">
          <w:rPr>
            <w:noProof/>
            <w:webHidden/>
          </w:rPr>
        </w:r>
        <w:r w:rsidR="00A95039">
          <w:rPr>
            <w:noProof/>
            <w:webHidden/>
          </w:rPr>
          <w:fldChar w:fldCharType="separate"/>
        </w:r>
        <w:r w:rsidR="002B7633">
          <w:rPr>
            <w:noProof/>
            <w:webHidden/>
          </w:rPr>
          <w:t>58</w:t>
        </w:r>
        <w:r w:rsidR="00A95039">
          <w:rPr>
            <w:noProof/>
            <w:webHidden/>
          </w:rPr>
          <w:fldChar w:fldCharType="end"/>
        </w:r>
      </w:hyperlink>
    </w:p>
    <w:p w14:paraId="7AD52BE4" w14:textId="77777777" w:rsidR="002B7633" w:rsidRDefault="00000000">
      <w:pPr>
        <w:pStyle w:val="TOC3"/>
        <w:tabs>
          <w:tab w:val="right" w:leader="dot" w:pos="8990"/>
        </w:tabs>
        <w:rPr>
          <w:rFonts w:asciiTheme="minorHAnsi" w:eastAsiaTheme="minorEastAsia" w:hAnsiTheme="minorHAnsi" w:cstheme="minorBidi"/>
          <w:noProof/>
        </w:rPr>
      </w:pPr>
      <w:hyperlink w:anchor="_Toc404357244" w:history="1">
        <w:r w:rsidR="002B7633" w:rsidRPr="005B2AED">
          <w:rPr>
            <w:rStyle w:val="Hyperlink"/>
            <w:noProof/>
          </w:rPr>
          <w:t>Nonelective Employer Contributions</w:t>
        </w:r>
        <w:r w:rsidR="002B7633">
          <w:rPr>
            <w:noProof/>
            <w:webHidden/>
          </w:rPr>
          <w:tab/>
        </w:r>
        <w:r w:rsidR="00A95039">
          <w:rPr>
            <w:noProof/>
            <w:webHidden/>
          </w:rPr>
          <w:fldChar w:fldCharType="begin"/>
        </w:r>
        <w:r w:rsidR="002B7633">
          <w:rPr>
            <w:noProof/>
            <w:webHidden/>
          </w:rPr>
          <w:instrText xml:space="preserve"> PAGEREF _Toc404357244 \h </w:instrText>
        </w:r>
        <w:r w:rsidR="00A95039">
          <w:rPr>
            <w:noProof/>
            <w:webHidden/>
          </w:rPr>
        </w:r>
        <w:r w:rsidR="00A95039">
          <w:rPr>
            <w:noProof/>
            <w:webHidden/>
          </w:rPr>
          <w:fldChar w:fldCharType="separate"/>
        </w:r>
        <w:r w:rsidR="002B7633">
          <w:rPr>
            <w:noProof/>
            <w:webHidden/>
          </w:rPr>
          <w:t>59</w:t>
        </w:r>
        <w:r w:rsidR="00A95039">
          <w:rPr>
            <w:noProof/>
            <w:webHidden/>
          </w:rPr>
          <w:fldChar w:fldCharType="end"/>
        </w:r>
      </w:hyperlink>
    </w:p>
    <w:p w14:paraId="5F01C66F"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45" w:history="1">
        <w:r w:rsidR="002B7633" w:rsidRPr="005B2AED">
          <w:rPr>
            <w:rStyle w:val="Hyperlink"/>
            <w:noProof/>
          </w:rPr>
          <w:t>Nonrefundable Tax Credit for Lower Income Employees</w:t>
        </w:r>
        <w:r w:rsidR="002B7633">
          <w:rPr>
            <w:noProof/>
            <w:webHidden/>
          </w:rPr>
          <w:tab/>
        </w:r>
        <w:r w:rsidR="00A95039">
          <w:rPr>
            <w:noProof/>
            <w:webHidden/>
          </w:rPr>
          <w:fldChar w:fldCharType="begin"/>
        </w:r>
        <w:r w:rsidR="002B7633">
          <w:rPr>
            <w:noProof/>
            <w:webHidden/>
          </w:rPr>
          <w:instrText xml:space="preserve"> PAGEREF _Toc404357245 \h </w:instrText>
        </w:r>
        <w:r w:rsidR="00A95039">
          <w:rPr>
            <w:noProof/>
            <w:webHidden/>
          </w:rPr>
        </w:r>
        <w:r w:rsidR="00A95039">
          <w:rPr>
            <w:noProof/>
            <w:webHidden/>
          </w:rPr>
          <w:fldChar w:fldCharType="separate"/>
        </w:r>
        <w:r w:rsidR="002B7633">
          <w:rPr>
            <w:noProof/>
            <w:webHidden/>
          </w:rPr>
          <w:t>59</w:t>
        </w:r>
        <w:r w:rsidR="00A95039">
          <w:rPr>
            <w:noProof/>
            <w:webHidden/>
          </w:rPr>
          <w:fldChar w:fldCharType="end"/>
        </w:r>
      </w:hyperlink>
    </w:p>
    <w:p w14:paraId="62266CDC"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46" w:history="1">
        <w:r w:rsidR="002B7633" w:rsidRPr="005B2AED">
          <w:rPr>
            <w:rStyle w:val="Hyperlink"/>
            <w:noProof/>
          </w:rPr>
          <w:t>Distributions</w:t>
        </w:r>
        <w:r w:rsidR="002B7633">
          <w:rPr>
            <w:noProof/>
            <w:webHidden/>
          </w:rPr>
          <w:tab/>
        </w:r>
        <w:r w:rsidR="00A95039">
          <w:rPr>
            <w:noProof/>
            <w:webHidden/>
          </w:rPr>
          <w:fldChar w:fldCharType="begin"/>
        </w:r>
        <w:r w:rsidR="002B7633">
          <w:rPr>
            <w:noProof/>
            <w:webHidden/>
          </w:rPr>
          <w:instrText xml:space="preserve"> PAGEREF _Toc404357246 \h </w:instrText>
        </w:r>
        <w:r w:rsidR="00A95039">
          <w:rPr>
            <w:noProof/>
            <w:webHidden/>
          </w:rPr>
        </w:r>
        <w:r w:rsidR="00A95039">
          <w:rPr>
            <w:noProof/>
            <w:webHidden/>
          </w:rPr>
          <w:fldChar w:fldCharType="separate"/>
        </w:r>
        <w:r w:rsidR="002B7633">
          <w:rPr>
            <w:noProof/>
            <w:webHidden/>
          </w:rPr>
          <w:t>60</w:t>
        </w:r>
        <w:r w:rsidR="00A95039">
          <w:rPr>
            <w:noProof/>
            <w:webHidden/>
          </w:rPr>
          <w:fldChar w:fldCharType="end"/>
        </w:r>
      </w:hyperlink>
    </w:p>
    <w:p w14:paraId="772B1A45" w14:textId="77777777" w:rsidR="002B7633" w:rsidRDefault="00000000">
      <w:pPr>
        <w:pStyle w:val="TOC3"/>
        <w:tabs>
          <w:tab w:val="right" w:leader="dot" w:pos="8990"/>
        </w:tabs>
        <w:rPr>
          <w:rFonts w:asciiTheme="minorHAnsi" w:eastAsiaTheme="minorEastAsia" w:hAnsiTheme="minorHAnsi" w:cstheme="minorBidi"/>
          <w:noProof/>
        </w:rPr>
      </w:pPr>
      <w:hyperlink w:anchor="_Toc404357247" w:history="1">
        <w:r w:rsidR="002B7633" w:rsidRPr="005B2AED">
          <w:rPr>
            <w:rStyle w:val="Hyperlink"/>
            <w:noProof/>
          </w:rPr>
          <w:t>Premature Distributions</w:t>
        </w:r>
        <w:r w:rsidR="002B7633">
          <w:rPr>
            <w:noProof/>
            <w:webHidden/>
          </w:rPr>
          <w:tab/>
        </w:r>
        <w:r w:rsidR="00A95039">
          <w:rPr>
            <w:noProof/>
            <w:webHidden/>
          </w:rPr>
          <w:fldChar w:fldCharType="begin"/>
        </w:r>
        <w:r w:rsidR="002B7633">
          <w:rPr>
            <w:noProof/>
            <w:webHidden/>
          </w:rPr>
          <w:instrText xml:space="preserve"> PAGEREF _Toc404357247 \h </w:instrText>
        </w:r>
        <w:r w:rsidR="00A95039">
          <w:rPr>
            <w:noProof/>
            <w:webHidden/>
          </w:rPr>
        </w:r>
        <w:r w:rsidR="00A95039">
          <w:rPr>
            <w:noProof/>
            <w:webHidden/>
          </w:rPr>
          <w:fldChar w:fldCharType="separate"/>
        </w:r>
        <w:r w:rsidR="002B7633">
          <w:rPr>
            <w:noProof/>
            <w:webHidden/>
          </w:rPr>
          <w:t>60</w:t>
        </w:r>
        <w:r w:rsidR="00A95039">
          <w:rPr>
            <w:noProof/>
            <w:webHidden/>
          </w:rPr>
          <w:fldChar w:fldCharType="end"/>
        </w:r>
      </w:hyperlink>
    </w:p>
    <w:p w14:paraId="4B9BCDEA" w14:textId="77777777" w:rsidR="002B7633" w:rsidRDefault="00000000">
      <w:pPr>
        <w:pStyle w:val="TOC4"/>
        <w:tabs>
          <w:tab w:val="right" w:leader="dot" w:pos="8990"/>
        </w:tabs>
        <w:rPr>
          <w:rFonts w:asciiTheme="minorHAnsi" w:eastAsiaTheme="minorEastAsia" w:hAnsiTheme="minorHAnsi" w:cstheme="minorBidi"/>
          <w:noProof/>
          <w:szCs w:val="22"/>
        </w:rPr>
      </w:pPr>
      <w:hyperlink w:anchor="_Toc404357248" w:history="1">
        <w:r w:rsidR="002B7633" w:rsidRPr="005B2AED">
          <w:rPr>
            <w:rStyle w:val="Hyperlink"/>
            <w:noProof/>
          </w:rPr>
          <w:t>Exceptions to Premature Distribution Tax Penalty</w:t>
        </w:r>
        <w:r w:rsidR="002B7633">
          <w:rPr>
            <w:noProof/>
            <w:webHidden/>
          </w:rPr>
          <w:tab/>
        </w:r>
        <w:r w:rsidR="00A95039">
          <w:rPr>
            <w:noProof/>
            <w:webHidden/>
          </w:rPr>
          <w:fldChar w:fldCharType="begin"/>
        </w:r>
        <w:r w:rsidR="002B7633">
          <w:rPr>
            <w:noProof/>
            <w:webHidden/>
          </w:rPr>
          <w:instrText xml:space="preserve"> PAGEREF _Toc404357248 \h </w:instrText>
        </w:r>
        <w:r w:rsidR="00A95039">
          <w:rPr>
            <w:noProof/>
            <w:webHidden/>
          </w:rPr>
        </w:r>
        <w:r w:rsidR="00A95039">
          <w:rPr>
            <w:noProof/>
            <w:webHidden/>
          </w:rPr>
          <w:fldChar w:fldCharType="separate"/>
        </w:r>
        <w:r w:rsidR="002B7633">
          <w:rPr>
            <w:noProof/>
            <w:webHidden/>
          </w:rPr>
          <w:t>60</w:t>
        </w:r>
        <w:r w:rsidR="00A95039">
          <w:rPr>
            <w:noProof/>
            <w:webHidden/>
          </w:rPr>
          <w:fldChar w:fldCharType="end"/>
        </w:r>
      </w:hyperlink>
    </w:p>
    <w:p w14:paraId="333765CC" w14:textId="77777777" w:rsidR="002B7633" w:rsidRDefault="00000000">
      <w:pPr>
        <w:pStyle w:val="TOC3"/>
        <w:tabs>
          <w:tab w:val="right" w:leader="dot" w:pos="8990"/>
        </w:tabs>
        <w:rPr>
          <w:rFonts w:asciiTheme="minorHAnsi" w:eastAsiaTheme="minorEastAsia" w:hAnsiTheme="minorHAnsi" w:cstheme="minorBidi"/>
          <w:noProof/>
        </w:rPr>
      </w:pPr>
      <w:hyperlink w:anchor="_Toc404357249" w:history="1">
        <w:r w:rsidR="002B7633" w:rsidRPr="005B2AED">
          <w:rPr>
            <w:rStyle w:val="Hyperlink"/>
            <w:noProof/>
          </w:rPr>
          <w:t>Required Minimum Distributions</w:t>
        </w:r>
        <w:r w:rsidR="002B7633">
          <w:rPr>
            <w:noProof/>
            <w:webHidden/>
          </w:rPr>
          <w:tab/>
        </w:r>
        <w:r w:rsidR="00A95039">
          <w:rPr>
            <w:noProof/>
            <w:webHidden/>
          </w:rPr>
          <w:fldChar w:fldCharType="begin"/>
        </w:r>
        <w:r w:rsidR="002B7633">
          <w:rPr>
            <w:noProof/>
            <w:webHidden/>
          </w:rPr>
          <w:instrText xml:space="preserve"> PAGEREF _Toc404357249 \h </w:instrText>
        </w:r>
        <w:r w:rsidR="00A95039">
          <w:rPr>
            <w:noProof/>
            <w:webHidden/>
          </w:rPr>
        </w:r>
        <w:r w:rsidR="00A95039">
          <w:rPr>
            <w:noProof/>
            <w:webHidden/>
          </w:rPr>
          <w:fldChar w:fldCharType="separate"/>
        </w:r>
        <w:r w:rsidR="002B7633">
          <w:rPr>
            <w:noProof/>
            <w:webHidden/>
          </w:rPr>
          <w:t>60</w:t>
        </w:r>
        <w:r w:rsidR="00A95039">
          <w:rPr>
            <w:noProof/>
            <w:webHidden/>
          </w:rPr>
          <w:fldChar w:fldCharType="end"/>
        </w:r>
      </w:hyperlink>
    </w:p>
    <w:p w14:paraId="6F490A24"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50" w:history="1">
        <w:r w:rsidR="002B7633" w:rsidRPr="005B2AED">
          <w:rPr>
            <w:rStyle w:val="Hyperlink"/>
            <w:noProof/>
          </w:rPr>
          <w:t>Rollovers</w:t>
        </w:r>
        <w:r w:rsidR="002B7633">
          <w:rPr>
            <w:noProof/>
            <w:webHidden/>
          </w:rPr>
          <w:tab/>
        </w:r>
        <w:r w:rsidR="00A95039">
          <w:rPr>
            <w:noProof/>
            <w:webHidden/>
          </w:rPr>
          <w:fldChar w:fldCharType="begin"/>
        </w:r>
        <w:r w:rsidR="002B7633">
          <w:rPr>
            <w:noProof/>
            <w:webHidden/>
          </w:rPr>
          <w:instrText xml:space="preserve"> PAGEREF _Toc404357250 \h </w:instrText>
        </w:r>
        <w:r w:rsidR="00A95039">
          <w:rPr>
            <w:noProof/>
            <w:webHidden/>
          </w:rPr>
        </w:r>
        <w:r w:rsidR="00A95039">
          <w:rPr>
            <w:noProof/>
            <w:webHidden/>
          </w:rPr>
          <w:fldChar w:fldCharType="separate"/>
        </w:r>
        <w:r w:rsidR="002B7633">
          <w:rPr>
            <w:noProof/>
            <w:webHidden/>
          </w:rPr>
          <w:t>61</w:t>
        </w:r>
        <w:r w:rsidR="00A95039">
          <w:rPr>
            <w:noProof/>
            <w:webHidden/>
          </w:rPr>
          <w:fldChar w:fldCharType="end"/>
        </w:r>
      </w:hyperlink>
    </w:p>
    <w:p w14:paraId="6016E869" w14:textId="77777777" w:rsidR="002B7633" w:rsidRDefault="00000000">
      <w:pPr>
        <w:pStyle w:val="TOC3"/>
        <w:tabs>
          <w:tab w:val="right" w:leader="dot" w:pos="8990"/>
        </w:tabs>
        <w:rPr>
          <w:rFonts w:asciiTheme="minorHAnsi" w:eastAsiaTheme="minorEastAsia" w:hAnsiTheme="minorHAnsi" w:cstheme="minorBidi"/>
          <w:noProof/>
        </w:rPr>
      </w:pPr>
      <w:hyperlink w:anchor="_Toc404357251" w:history="1">
        <w:r w:rsidR="002B7633" w:rsidRPr="005B2AED">
          <w:rPr>
            <w:rStyle w:val="Hyperlink"/>
            <w:noProof/>
          </w:rPr>
          <w:t>Direct and Indirect Rollovers</w:t>
        </w:r>
        <w:r w:rsidR="002B7633">
          <w:rPr>
            <w:noProof/>
            <w:webHidden/>
          </w:rPr>
          <w:tab/>
        </w:r>
        <w:r w:rsidR="00A95039">
          <w:rPr>
            <w:noProof/>
            <w:webHidden/>
          </w:rPr>
          <w:fldChar w:fldCharType="begin"/>
        </w:r>
        <w:r w:rsidR="002B7633">
          <w:rPr>
            <w:noProof/>
            <w:webHidden/>
          </w:rPr>
          <w:instrText xml:space="preserve"> PAGEREF _Toc404357251 \h </w:instrText>
        </w:r>
        <w:r w:rsidR="00A95039">
          <w:rPr>
            <w:noProof/>
            <w:webHidden/>
          </w:rPr>
        </w:r>
        <w:r w:rsidR="00A95039">
          <w:rPr>
            <w:noProof/>
            <w:webHidden/>
          </w:rPr>
          <w:fldChar w:fldCharType="separate"/>
        </w:r>
        <w:r w:rsidR="002B7633">
          <w:rPr>
            <w:noProof/>
            <w:webHidden/>
          </w:rPr>
          <w:t>62</w:t>
        </w:r>
        <w:r w:rsidR="00A95039">
          <w:rPr>
            <w:noProof/>
            <w:webHidden/>
          </w:rPr>
          <w:fldChar w:fldCharType="end"/>
        </w:r>
      </w:hyperlink>
    </w:p>
    <w:p w14:paraId="69DEDC2F" w14:textId="77777777" w:rsidR="002B7633" w:rsidRDefault="00000000">
      <w:pPr>
        <w:pStyle w:val="TOC3"/>
        <w:tabs>
          <w:tab w:val="right" w:leader="dot" w:pos="8990"/>
        </w:tabs>
        <w:rPr>
          <w:rFonts w:asciiTheme="minorHAnsi" w:eastAsiaTheme="minorEastAsia" w:hAnsiTheme="minorHAnsi" w:cstheme="minorBidi"/>
          <w:noProof/>
        </w:rPr>
      </w:pPr>
      <w:hyperlink w:anchor="_Toc404357252" w:history="1">
        <w:r w:rsidR="002B7633" w:rsidRPr="005B2AED">
          <w:rPr>
            <w:rStyle w:val="Hyperlink"/>
            <w:noProof/>
          </w:rPr>
          <w:t>Rollover Recipient Plan</w:t>
        </w:r>
        <w:r w:rsidR="002B7633">
          <w:rPr>
            <w:noProof/>
            <w:webHidden/>
          </w:rPr>
          <w:tab/>
        </w:r>
        <w:r w:rsidR="00A95039">
          <w:rPr>
            <w:noProof/>
            <w:webHidden/>
          </w:rPr>
          <w:fldChar w:fldCharType="begin"/>
        </w:r>
        <w:r w:rsidR="002B7633">
          <w:rPr>
            <w:noProof/>
            <w:webHidden/>
          </w:rPr>
          <w:instrText xml:space="preserve"> PAGEREF _Toc404357252 \h </w:instrText>
        </w:r>
        <w:r w:rsidR="00A95039">
          <w:rPr>
            <w:noProof/>
            <w:webHidden/>
          </w:rPr>
        </w:r>
        <w:r w:rsidR="00A95039">
          <w:rPr>
            <w:noProof/>
            <w:webHidden/>
          </w:rPr>
          <w:fldChar w:fldCharType="separate"/>
        </w:r>
        <w:r w:rsidR="002B7633">
          <w:rPr>
            <w:noProof/>
            <w:webHidden/>
          </w:rPr>
          <w:t>62</w:t>
        </w:r>
        <w:r w:rsidR="00A95039">
          <w:rPr>
            <w:noProof/>
            <w:webHidden/>
          </w:rPr>
          <w:fldChar w:fldCharType="end"/>
        </w:r>
      </w:hyperlink>
    </w:p>
    <w:p w14:paraId="25B1E153"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53" w:history="1">
        <w:r w:rsidR="002B7633" w:rsidRPr="005B2AED">
          <w:rPr>
            <w:rStyle w:val="Hyperlink"/>
            <w:noProof/>
          </w:rPr>
          <w:t>Summary</w:t>
        </w:r>
        <w:r w:rsidR="002B7633">
          <w:rPr>
            <w:noProof/>
            <w:webHidden/>
          </w:rPr>
          <w:tab/>
        </w:r>
        <w:r w:rsidR="00A95039">
          <w:rPr>
            <w:noProof/>
            <w:webHidden/>
          </w:rPr>
          <w:fldChar w:fldCharType="begin"/>
        </w:r>
        <w:r w:rsidR="002B7633">
          <w:rPr>
            <w:noProof/>
            <w:webHidden/>
          </w:rPr>
          <w:instrText xml:space="preserve"> PAGEREF _Toc404357253 \h </w:instrText>
        </w:r>
        <w:r w:rsidR="00A95039">
          <w:rPr>
            <w:noProof/>
            <w:webHidden/>
          </w:rPr>
        </w:r>
        <w:r w:rsidR="00A95039">
          <w:rPr>
            <w:noProof/>
            <w:webHidden/>
          </w:rPr>
          <w:fldChar w:fldCharType="separate"/>
        </w:r>
        <w:r w:rsidR="002B7633">
          <w:rPr>
            <w:noProof/>
            <w:webHidden/>
          </w:rPr>
          <w:t>62</w:t>
        </w:r>
        <w:r w:rsidR="00A95039">
          <w:rPr>
            <w:noProof/>
            <w:webHidden/>
          </w:rPr>
          <w:fldChar w:fldCharType="end"/>
        </w:r>
      </w:hyperlink>
    </w:p>
    <w:p w14:paraId="341DF65C"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54" w:history="1">
        <w:r w:rsidR="002B7633" w:rsidRPr="005B2AED">
          <w:rPr>
            <w:rStyle w:val="Hyperlink"/>
            <w:noProof/>
          </w:rPr>
          <w:t>Review Quiz #8</w:t>
        </w:r>
        <w:r w:rsidR="002B7633">
          <w:rPr>
            <w:noProof/>
            <w:webHidden/>
          </w:rPr>
          <w:tab/>
        </w:r>
        <w:r w:rsidR="00A95039">
          <w:rPr>
            <w:noProof/>
            <w:webHidden/>
          </w:rPr>
          <w:fldChar w:fldCharType="begin"/>
        </w:r>
        <w:r w:rsidR="002B7633">
          <w:rPr>
            <w:noProof/>
            <w:webHidden/>
          </w:rPr>
          <w:instrText xml:space="preserve"> PAGEREF _Toc404357254 \h </w:instrText>
        </w:r>
        <w:r w:rsidR="00A95039">
          <w:rPr>
            <w:noProof/>
            <w:webHidden/>
          </w:rPr>
        </w:r>
        <w:r w:rsidR="00A95039">
          <w:rPr>
            <w:noProof/>
            <w:webHidden/>
          </w:rPr>
          <w:fldChar w:fldCharType="separate"/>
        </w:r>
        <w:r w:rsidR="002B7633">
          <w:rPr>
            <w:noProof/>
            <w:webHidden/>
          </w:rPr>
          <w:t>63</w:t>
        </w:r>
        <w:r w:rsidR="00A95039">
          <w:rPr>
            <w:noProof/>
            <w:webHidden/>
          </w:rPr>
          <w:fldChar w:fldCharType="end"/>
        </w:r>
      </w:hyperlink>
    </w:p>
    <w:p w14:paraId="7C80ECA7"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55" w:history="1">
        <w:r w:rsidR="002B7633" w:rsidRPr="005B2AED">
          <w:rPr>
            <w:rStyle w:val="Hyperlink"/>
            <w:noProof/>
          </w:rPr>
          <w:t>Glossary</w:t>
        </w:r>
        <w:r w:rsidR="002B7633">
          <w:rPr>
            <w:noProof/>
            <w:webHidden/>
          </w:rPr>
          <w:tab/>
        </w:r>
        <w:r w:rsidR="00A95039">
          <w:rPr>
            <w:noProof/>
            <w:webHidden/>
          </w:rPr>
          <w:fldChar w:fldCharType="begin"/>
        </w:r>
        <w:r w:rsidR="002B7633">
          <w:rPr>
            <w:noProof/>
            <w:webHidden/>
          </w:rPr>
          <w:instrText xml:space="preserve"> PAGEREF _Toc404357255 \h </w:instrText>
        </w:r>
        <w:r w:rsidR="00A95039">
          <w:rPr>
            <w:noProof/>
            <w:webHidden/>
          </w:rPr>
        </w:r>
        <w:r w:rsidR="00A95039">
          <w:rPr>
            <w:noProof/>
            <w:webHidden/>
          </w:rPr>
          <w:fldChar w:fldCharType="separate"/>
        </w:r>
        <w:r w:rsidR="002B7633">
          <w:rPr>
            <w:noProof/>
            <w:webHidden/>
          </w:rPr>
          <w:t>64</w:t>
        </w:r>
        <w:r w:rsidR="00A95039">
          <w:rPr>
            <w:noProof/>
            <w:webHidden/>
          </w:rPr>
          <w:fldChar w:fldCharType="end"/>
        </w:r>
      </w:hyperlink>
    </w:p>
    <w:p w14:paraId="7903BC93" w14:textId="77777777" w:rsidR="002B7633" w:rsidRDefault="00000000">
      <w:pPr>
        <w:pStyle w:val="TOC2"/>
        <w:tabs>
          <w:tab w:val="right" w:leader="dot" w:pos="8990"/>
        </w:tabs>
        <w:rPr>
          <w:rFonts w:asciiTheme="minorHAnsi" w:eastAsiaTheme="minorEastAsia" w:hAnsiTheme="minorHAnsi" w:cstheme="minorBidi"/>
          <w:noProof/>
          <w:szCs w:val="22"/>
        </w:rPr>
      </w:pPr>
      <w:hyperlink w:anchor="_Toc404357256" w:history="1">
        <w:r w:rsidR="002B7633" w:rsidRPr="005B2AED">
          <w:rPr>
            <w:rStyle w:val="Hyperlink"/>
            <w:noProof/>
          </w:rPr>
          <w:t>Answers to Review Quizzes</w:t>
        </w:r>
        <w:r w:rsidR="002B7633">
          <w:rPr>
            <w:noProof/>
            <w:webHidden/>
          </w:rPr>
          <w:tab/>
        </w:r>
        <w:r w:rsidR="00A95039">
          <w:rPr>
            <w:noProof/>
            <w:webHidden/>
          </w:rPr>
          <w:fldChar w:fldCharType="begin"/>
        </w:r>
        <w:r w:rsidR="002B7633">
          <w:rPr>
            <w:noProof/>
            <w:webHidden/>
          </w:rPr>
          <w:instrText xml:space="preserve"> PAGEREF _Toc404357256 \h </w:instrText>
        </w:r>
        <w:r w:rsidR="00A95039">
          <w:rPr>
            <w:noProof/>
            <w:webHidden/>
          </w:rPr>
        </w:r>
        <w:r w:rsidR="00A95039">
          <w:rPr>
            <w:noProof/>
            <w:webHidden/>
          </w:rPr>
          <w:fldChar w:fldCharType="separate"/>
        </w:r>
        <w:r w:rsidR="002B7633">
          <w:rPr>
            <w:noProof/>
            <w:webHidden/>
          </w:rPr>
          <w:t>69</w:t>
        </w:r>
        <w:r w:rsidR="00A95039">
          <w:rPr>
            <w:noProof/>
            <w:webHidden/>
          </w:rPr>
          <w:fldChar w:fldCharType="end"/>
        </w:r>
      </w:hyperlink>
    </w:p>
    <w:p w14:paraId="1F6641A0" w14:textId="77777777" w:rsidR="002B7633" w:rsidRDefault="00000000">
      <w:pPr>
        <w:pStyle w:val="TOC3"/>
        <w:tabs>
          <w:tab w:val="right" w:leader="dot" w:pos="8990"/>
        </w:tabs>
        <w:rPr>
          <w:rFonts w:asciiTheme="minorHAnsi" w:eastAsiaTheme="minorEastAsia" w:hAnsiTheme="minorHAnsi" w:cstheme="minorBidi"/>
          <w:noProof/>
        </w:rPr>
      </w:pPr>
      <w:hyperlink w:anchor="_Toc404357257" w:history="1">
        <w:r w:rsidR="002B7633" w:rsidRPr="005B2AED">
          <w:rPr>
            <w:rStyle w:val="Hyperlink"/>
            <w:noProof/>
          </w:rPr>
          <w:t>Review Quiz #1</w:t>
        </w:r>
        <w:r w:rsidR="002B7633">
          <w:rPr>
            <w:noProof/>
            <w:webHidden/>
          </w:rPr>
          <w:tab/>
        </w:r>
        <w:r w:rsidR="00A95039">
          <w:rPr>
            <w:noProof/>
            <w:webHidden/>
          </w:rPr>
          <w:fldChar w:fldCharType="begin"/>
        </w:r>
        <w:r w:rsidR="002B7633">
          <w:rPr>
            <w:noProof/>
            <w:webHidden/>
          </w:rPr>
          <w:instrText xml:space="preserve"> PAGEREF _Toc404357257 \h </w:instrText>
        </w:r>
        <w:r w:rsidR="00A95039">
          <w:rPr>
            <w:noProof/>
            <w:webHidden/>
          </w:rPr>
        </w:r>
        <w:r w:rsidR="00A95039">
          <w:rPr>
            <w:noProof/>
            <w:webHidden/>
          </w:rPr>
          <w:fldChar w:fldCharType="separate"/>
        </w:r>
        <w:r w:rsidR="002B7633">
          <w:rPr>
            <w:noProof/>
            <w:webHidden/>
          </w:rPr>
          <w:t>69</w:t>
        </w:r>
        <w:r w:rsidR="00A95039">
          <w:rPr>
            <w:noProof/>
            <w:webHidden/>
          </w:rPr>
          <w:fldChar w:fldCharType="end"/>
        </w:r>
      </w:hyperlink>
    </w:p>
    <w:p w14:paraId="30F05218" w14:textId="77777777" w:rsidR="002B7633" w:rsidRDefault="00000000">
      <w:pPr>
        <w:pStyle w:val="TOC3"/>
        <w:tabs>
          <w:tab w:val="right" w:leader="dot" w:pos="8990"/>
        </w:tabs>
        <w:rPr>
          <w:rFonts w:asciiTheme="minorHAnsi" w:eastAsiaTheme="minorEastAsia" w:hAnsiTheme="minorHAnsi" w:cstheme="minorBidi"/>
          <w:noProof/>
        </w:rPr>
      </w:pPr>
      <w:hyperlink w:anchor="_Toc404357258" w:history="1">
        <w:r w:rsidR="002B7633" w:rsidRPr="005B2AED">
          <w:rPr>
            <w:rStyle w:val="Hyperlink"/>
            <w:noProof/>
          </w:rPr>
          <w:t>Review Quiz #2</w:t>
        </w:r>
        <w:r w:rsidR="002B7633">
          <w:rPr>
            <w:noProof/>
            <w:webHidden/>
          </w:rPr>
          <w:tab/>
        </w:r>
        <w:r w:rsidR="00A95039">
          <w:rPr>
            <w:noProof/>
            <w:webHidden/>
          </w:rPr>
          <w:fldChar w:fldCharType="begin"/>
        </w:r>
        <w:r w:rsidR="002B7633">
          <w:rPr>
            <w:noProof/>
            <w:webHidden/>
          </w:rPr>
          <w:instrText xml:space="preserve"> PAGEREF _Toc404357258 \h </w:instrText>
        </w:r>
        <w:r w:rsidR="00A95039">
          <w:rPr>
            <w:noProof/>
            <w:webHidden/>
          </w:rPr>
        </w:r>
        <w:r w:rsidR="00A95039">
          <w:rPr>
            <w:noProof/>
            <w:webHidden/>
          </w:rPr>
          <w:fldChar w:fldCharType="separate"/>
        </w:r>
        <w:r w:rsidR="002B7633">
          <w:rPr>
            <w:noProof/>
            <w:webHidden/>
          </w:rPr>
          <w:t>70</w:t>
        </w:r>
        <w:r w:rsidR="00A95039">
          <w:rPr>
            <w:noProof/>
            <w:webHidden/>
          </w:rPr>
          <w:fldChar w:fldCharType="end"/>
        </w:r>
      </w:hyperlink>
    </w:p>
    <w:p w14:paraId="0E8A3AB0" w14:textId="77777777" w:rsidR="002B7633" w:rsidRDefault="00000000">
      <w:pPr>
        <w:pStyle w:val="TOC3"/>
        <w:tabs>
          <w:tab w:val="right" w:leader="dot" w:pos="8990"/>
        </w:tabs>
        <w:rPr>
          <w:rFonts w:asciiTheme="minorHAnsi" w:eastAsiaTheme="minorEastAsia" w:hAnsiTheme="minorHAnsi" w:cstheme="minorBidi"/>
          <w:noProof/>
        </w:rPr>
      </w:pPr>
      <w:hyperlink w:anchor="_Toc404357259" w:history="1">
        <w:r w:rsidR="002B7633" w:rsidRPr="005B2AED">
          <w:rPr>
            <w:rStyle w:val="Hyperlink"/>
            <w:noProof/>
          </w:rPr>
          <w:t>Review Quiz #3</w:t>
        </w:r>
        <w:r w:rsidR="002B7633">
          <w:rPr>
            <w:noProof/>
            <w:webHidden/>
          </w:rPr>
          <w:tab/>
        </w:r>
        <w:r w:rsidR="00A95039">
          <w:rPr>
            <w:noProof/>
            <w:webHidden/>
          </w:rPr>
          <w:fldChar w:fldCharType="begin"/>
        </w:r>
        <w:r w:rsidR="002B7633">
          <w:rPr>
            <w:noProof/>
            <w:webHidden/>
          </w:rPr>
          <w:instrText xml:space="preserve"> PAGEREF _Toc404357259 \h </w:instrText>
        </w:r>
        <w:r w:rsidR="00A95039">
          <w:rPr>
            <w:noProof/>
            <w:webHidden/>
          </w:rPr>
        </w:r>
        <w:r w:rsidR="00A95039">
          <w:rPr>
            <w:noProof/>
            <w:webHidden/>
          </w:rPr>
          <w:fldChar w:fldCharType="separate"/>
        </w:r>
        <w:r w:rsidR="002B7633">
          <w:rPr>
            <w:noProof/>
            <w:webHidden/>
          </w:rPr>
          <w:t>71</w:t>
        </w:r>
        <w:r w:rsidR="00A95039">
          <w:rPr>
            <w:noProof/>
            <w:webHidden/>
          </w:rPr>
          <w:fldChar w:fldCharType="end"/>
        </w:r>
      </w:hyperlink>
    </w:p>
    <w:p w14:paraId="67FA2EDA" w14:textId="77777777" w:rsidR="002B7633" w:rsidRDefault="00000000">
      <w:pPr>
        <w:pStyle w:val="TOC3"/>
        <w:tabs>
          <w:tab w:val="right" w:leader="dot" w:pos="8990"/>
        </w:tabs>
        <w:rPr>
          <w:rFonts w:asciiTheme="minorHAnsi" w:eastAsiaTheme="minorEastAsia" w:hAnsiTheme="minorHAnsi" w:cstheme="minorBidi"/>
          <w:noProof/>
        </w:rPr>
      </w:pPr>
      <w:hyperlink w:anchor="_Toc404357260" w:history="1">
        <w:r w:rsidR="002B7633" w:rsidRPr="005B2AED">
          <w:rPr>
            <w:rStyle w:val="Hyperlink"/>
            <w:noProof/>
          </w:rPr>
          <w:t>Review Quiz #4</w:t>
        </w:r>
        <w:r w:rsidR="002B7633">
          <w:rPr>
            <w:noProof/>
            <w:webHidden/>
          </w:rPr>
          <w:tab/>
        </w:r>
        <w:r w:rsidR="00A95039">
          <w:rPr>
            <w:noProof/>
            <w:webHidden/>
          </w:rPr>
          <w:fldChar w:fldCharType="begin"/>
        </w:r>
        <w:r w:rsidR="002B7633">
          <w:rPr>
            <w:noProof/>
            <w:webHidden/>
          </w:rPr>
          <w:instrText xml:space="preserve"> PAGEREF _Toc404357260 \h </w:instrText>
        </w:r>
        <w:r w:rsidR="00A95039">
          <w:rPr>
            <w:noProof/>
            <w:webHidden/>
          </w:rPr>
        </w:r>
        <w:r w:rsidR="00A95039">
          <w:rPr>
            <w:noProof/>
            <w:webHidden/>
          </w:rPr>
          <w:fldChar w:fldCharType="separate"/>
        </w:r>
        <w:r w:rsidR="002B7633">
          <w:rPr>
            <w:noProof/>
            <w:webHidden/>
          </w:rPr>
          <w:t>73</w:t>
        </w:r>
        <w:r w:rsidR="00A95039">
          <w:rPr>
            <w:noProof/>
            <w:webHidden/>
          </w:rPr>
          <w:fldChar w:fldCharType="end"/>
        </w:r>
      </w:hyperlink>
    </w:p>
    <w:p w14:paraId="03E454E3" w14:textId="77777777" w:rsidR="002B7633" w:rsidRDefault="00000000">
      <w:pPr>
        <w:pStyle w:val="TOC3"/>
        <w:tabs>
          <w:tab w:val="right" w:leader="dot" w:pos="8990"/>
        </w:tabs>
        <w:rPr>
          <w:rFonts w:asciiTheme="minorHAnsi" w:eastAsiaTheme="minorEastAsia" w:hAnsiTheme="minorHAnsi" w:cstheme="minorBidi"/>
          <w:noProof/>
        </w:rPr>
      </w:pPr>
      <w:hyperlink w:anchor="_Toc404357261" w:history="1">
        <w:r w:rsidR="002B7633" w:rsidRPr="005B2AED">
          <w:rPr>
            <w:rStyle w:val="Hyperlink"/>
            <w:noProof/>
          </w:rPr>
          <w:t>Review Quiz #5</w:t>
        </w:r>
        <w:r w:rsidR="002B7633">
          <w:rPr>
            <w:noProof/>
            <w:webHidden/>
          </w:rPr>
          <w:tab/>
        </w:r>
        <w:r w:rsidR="00A95039">
          <w:rPr>
            <w:noProof/>
            <w:webHidden/>
          </w:rPr>
          <w:fldChar w:fldCharType="begin"/>
        </w:r>
        <w:r w:rsidR="002B7633">
          <w:rPr>
            <w:noProof/>
            <w:webHidden/>
          </w:rPr>
          <w:instrText xml:space="preserve"> PAGEREF _Toc404357261 \h </w:instrText>
        </w:r>
        <w:r w:rsidR="00A95039">
          <w:rPr>
            <w:noProof/>
            <w:webHidden/>
          </w:rPr>
        </w:r>
        <w:r w:rsidR="00A95039">
          <w:rPr>
            <w:noProof/>
            <w:webHidden/>
          </w:rPr>
          <w:fldChar w:fldCharType="separate"/>
        </w:r>
        <w:r w:rsidR="002B7633">
          <w:rPr>
            <w:noProof/>
            <w:webHidden/>
          </w:rPr>
          <w:t>74</w:t>
        </w:r>
        <w:r w:rsidR="00A95039">
          <w:rPr>
            <w:noProof/>
            <w:webHidden/>
          </w:rPr>
          <w:fldChar w:fldCharType="end"/>
        </w:r>
      </w:hyperlink>
    </w:p>
    <w:p w14:paraId="69994D52" w14:textId="77777777" w:rsidR="002B7633" w:rsidRDefault="00000000">
      <w:pPr>
        <w:pStyle w:val="TOC3"/>
        <w:tabs>
          <w:tab w:val="right" w:leader="dot" w:pos="8990"/>
        </w:tabs>
        <w:rPr>
          <w:rFonts w:asciiTheme="minorHAnsi" w:eastAsiaTheme="minorEastAsia" w:hAnsiTheme="minorHAnsi" w:cstheme="minorBidi"/>
          <w:noProof/>
        </w:rPr>
      </w:pPr>
      <w:hyperlink w:anchor="_Toc404357262" w:history="1">
        <w:r w:rsidR="002B7633" w:rsidRPr="005B2AED">
          <w:rPr>
            <w:rStyle w:val="Hyperlink"/>
            <w:noProof/>
          </w:rPr>
          <w:t>Review Quiz #6</w:t>
        </w:r>
        <w:r w:rsidR="002B7633">
          <w:rPr>
            <w:noProof/>
            <w:webHidden/>
          </w:rPr>
          <w:tab/>
        </w:r>
        <w:r w:rsidR="00A95039">
          <w:rPr>
            <w:noProof/>
            <w:webHidden/>
          </w:rPr>
          <w:fldChar w:fldCharType="begin"/>
        </w:r>
        <w:r w:rsidR="002B7633">
          <w:rPr>
            <w:noProof/>
            <w:webHidden/>
          </w:rPr>
          <w:instrText xml:space="preserve"> PAGEREF _Toc404357262 \h </w:instrText>
        </w:r>
        <w:r w:rsidR="00A95039">
          <w:rPr>
            <w:noProof/>
            <w:webHidden/>
          </w:rPr>
        </w:r>
        <w:r w:rsidR="00A95039">
          <w:rPr>
            <w:noProof/>
            <w:webHidden/>
          </w:rPr>
          <w:fldChar w:fldCharType="separate"/>
        </w:r>
        <w:r w:rsidR="002B7633">
          <w:rPr>
            <w:noProof/>
            <w:webHidden/>
          </w:rPr>
          <w:t>75</w:t>
        </w:r>
        <w:r w:rsidR="00A95039">
          <w:rPr>
            <w:noProof/>
            <w:webHidden/>
          </w:rPr>
          <w:fldChar w:fldCharType="end"/>
        </w:r>
      </w:hyperlink>
    </w:p>
    <w:p w14:paraId="39384038" w14:textId="77777777" w:rsidR="002B7633" w:rsidRDefault="00000000">
      <w:pPr>
        <w:pStyle w:val="TOC3"/>
        <w:tabs>
          <w:tab w:val="right" w:leader="dot" w:pos="8990"/>
        </w:tabs>
        <w:rPr>
          <w:rFonts w:asciiTheme="minorHAnsi" w:eastAsiaTheme="minorEastAsia" w:hAnsiTheme="minorHAnsi" w:cstheme="minorBidi"/>
          <w:noProof/>
        </w:rPr>
      </w:pPr>
      <w:hyperlink w:anchor="_Toc404357263" w:history="1">
        <w:r w:rsidR="002B7633" w:rsidRPr="005B2AED">
          <w:rPr>
            <w:rStyle w:val="Hyperlink"/>
            <w:noProof/>
          </w:rPr>
          <w:t>Review Quiz #7</w:t>
        </w:r>
        <w:r w:rsidR="002B7633">
          <w:rPr>
            <w:noProof/>
            <w:webHidden/>
          </w:rPr>
          <w:tab/>
        </w:r>
        <w:r w:rsidR="00A95039">
          <w:rPr>
            <w:noProof/>
            <w:webHidden/>
          </w:rPr>
          <w:fldChar w:fldCharType="begin"/>
        </w:r>
        <w:r w:rsidR="002B7633">
          <w:rPr>
            <w:noProof/>
            <w:webHidden/>
          </w:rPr>
          <w:instrText xml:space="preserve"> PAGEREF _Toc404357263 \h </w:instrText>
        </w:r>
        <w:r w:rsidR="00A95039">
          <w:rPr>
            <w:noProof/>
            <w:webHidden/>
          </w:rPr>
        </w:r>
        <w:r w:rsidR="00A95039">
          <w:rPr>
            <w:noProof/>
            <w:webHidden/>
          </w:rPr>
          <w:fldChar w:fldCharType="separate"/>
        </w:r>
        <w:r w:rsidR="002B7633">
          <w:rPr>
            <w:noProof/>
            <w:webHidden/>
          </w:rPr>
          <w:t>77</w:t>
        </w:r>
        <w:r w:rsidR="00A95039">
          <w:rPr>
            <w:noProof/>
            <w:webHidden/>
          </w:rPr>
          <w:fldChar w:fldCharType="end"/>
        </w:r>
      </w:hyperlink>
    </w:p>
    <w:p w14:paraId="3E0480BB" w14:textId="77777777" w:rsidR="002B7633" w:rsidRDefault="00000000">
      <w:pPr>
        <w:pStyle w:val="TOC3"/>
        <w:tabs>
          <w:tab w:val="right" w:leader="dot" w:pos="8990"/>
        </w:tabs>
        <w:rPr>
          <w:rFonts w:asciiTheme="minorHAnsi" w:eastAsiaTheme="minorEastAsia" w:hAnsiTheme="minorHAnsi" w:cstheme="minorBidi"/>
          <w:noProof/>
        </w:rPr>
      </w:pPr>
      <w:hyperlink w:anchor="_Toc404357264" w:history="1">
        <w:r w:rsidR="002B7633" w:rsidRPr="005B2AED">
          <w:rPr>
            <w:rStyle w:val="Hyperlink"/>
            <w:noProof/>
          </w:rPr>
          <w:t>Review Quiz #8</w:t>
        </w:r>
        <w:r w:rsidR="002B7633">
          <w:rPr>
            <w:noProof/>
            <w:webHidden/>
          </w:rPr>
          <w:tab/>
        </w:r>
        <w:r w:rsidR="00A95039">
          <w:rPr>
            <w:noProof/>
            <w:webHidden/>
          </w:rPr>
          <w:fldChar w:fldCharType="begin"/>
        </w:r>
        <w:r w:rsidR="002B7633">
          <w:rPr>
            <w:noProof/>
            <w:webHidden/>
          </w:rPr>
          <w:instrText xml:space="preserve"> PAGEREF _Toc404357264 \h </w:instrText>
        </w:r>
        <w:r w:rsidR="00A95039">
          <w:rPr>
            <w:noProof/>
            <w:webHidden/>
          </w:rPr>
        </w:r>
        <w:r w:rsidR="00A95039">
          <w:rPr>
            <w:noProof/>
            <w:webHidden/>
          </w:rPr>
          <w:fldChar w:fldCharType="separate"/>
        </w:r>
        <w:r w:rsidR="002B7633">
          <w:rPr>
            <w:noProof/>
            <w:webHidden/>
          </w:rPr>
          <w:t>78</w:t>
        </w:r>
        <w:r w:rsidR="00A95039">
          <w:rPr>
            <w:noProof/>
            <w:webHidden/>
          </w:rPr>
          <w:fldChar w:fldCharType="end"/>
        </w:r>
      </w:hyperlink>
    </w:p>
    <w:p w14:paraId="4DCB5E59"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65" w:history="1">
        <w:r w:rsidR="002B7633" w:rsidRPr="005B2AED">
          <w:rPr>
            <w:rStyle w:val="Hyperlink"/>
            <w:noProof/>
          </w:rPr>
          <w:t>Index</w:t>
        </w:r>
        <w:r w:rsidR="002B7633">
          <w:rPr>
            <w:noProof/>
            <w:webHidden/>
          </w:rPr>
          <w:tab/>
        </w:r>
        <w:r w:rsidR="00A95039">
          <w:rPr>
            <w:noProof/>
            <w:webHidden/>
          </w:rPr>
          <w:fldChar w:fldCharType="begin"/>
        </w:r>
        <w:r w:rsidR="002B7633">
          <w:rPr>
            <w:noProof/>
            <w:webHidden/>
          </w:rPr>
          <w:instrText xml:space="preserve"> PAGEREF _Toc404357265 \h </w:instrText>
        </w:r>
        <w:r w:rsidR="00A95039">
          <w:rPr>
            <w:noProof/>
            <w:webHidden/>
          </w:rPr>
        </w:r>
        <w:r w:rsidR="00A95039">
          <w:rPr>
            <w:noProof/>
            <w:webHidden/>
          </w:rPr>
          <w:fldChar w:fldCharType="separate"/>
        </w:r>
        <w:r w:rsidR="002B7633">
          <w:rPr>
            <w:noProof/>
            <w:webHidden/>
          </w:rPr>
          <w:t>81</w:t>
        </w:r>
        <w:r w:rsidR="00A95039">
          <w:rPr>
            <w:noProof/>
            <w:webHidden/>
          </w:rPr>
          <w:fldChar w:fldCharType="end"/>
        </w:r>
      </w:hyperlink>
    </w:p>
    <w:p w14:paraId="0DEF6310" w14:textId="77777777" w:rsidR="002B7633" w:rsidRDefault="00000000">
      <w:pPr>
        <w:pStyle w:val="TOC1"/>
        <w:tabs>
          <w:tab w:val="right" w:leader="dot" w:pos="8990"/>
        </w:tabs>
        <w:rPr>
          <w:rFonts w:asciiTheme="minorHAnsi" w:eastAsiaTheme="minorEastAsia" w:hAnsiTheme="minorHAnsi" w:cstheme="minorBidi"/>
          <w:b w:val="0"/>
          <w:noProof/>
          <w:sz w:val="22"/>
          <w:szCs w:val="22"/>
        </w:rPr>
      </w:pPr>
      <w:hyperlink w:anchor="_Toc404357266" w:history="1">
        <w:r w:rsidR="002B7633" w:rsidRPr="005B2AED">
          <w:rPr>
            <w:rStyle w:val="Hyperlink"/>
            <w:noProof/>
          </w:rPr>
          <w:t>References</w:t>
        </w:r>
        <w:r w:rsidR="002B7633">
          <w:rPr>
            <w:noProof/>
            <w:webHidden/>
          </w:rPr>
          <w:tab/>
        </w:r>
        <w:r w:rsidR="00A95039">
          <w:rPr>
            <w:noProof/>
            <w:webHidden/>
          </w:rPr>
          <w:fldChar w:fldCharType="begin"/>
        </w:r>
        <w:r w:rsidR="002B7633">
          <w:rPr>
            <w:noProof/>
            <w:webHidden/>
          </w:rPr>
          <w:instrText xml:space="preserve"> PAGEREF _Toc404357266 \h </w:instrText>
        </w:r>
        <w:r w:rsidR="00A95039">
          <w:rPr>
            <w:noProof/>
            <w:webHidden/>
          </w:rPr>
        </w:r>
        <w:r w:rsidR="00A95039">
          <w:rPr>
            <w:noProof/>
            <w:webHidden/>
          </w:rPr>
          <w:fldChar w:fldCharType="separate"/>
        </w:r>
        <w:r w:rsidR="002B7633">
          <w:rPr>
            <w:noProof/>
            <w:webHidden/>
          </w:rPr>
          <w:t>83</w:t>
        </w:r>
        <w:r w:rsidR="00A95039">
          <w:rPr>
            <w:noProof/>
            <w:webHidden/>
          </w:rPr>
          <w:fldChar w:fldCharType="end"/>
        </w:r>
      </w:hyperlink>
    </w:p>
    <w:p w14:paraId="33B8116A" w14:textId="77777777" w:rsidR="00FC1BE3" w:rsidRDefault="00A95039" w:rsidP="00096E2A">
      <w:pPr>
        <w:pStyle w:val="TOC1"/>
        <w:tabs>
          <w:tab w:val="right" w:leader="dot" w:pos="8990"/>
        </w:tabs>
        <w:rPr>
          <w:szCs w:val="22"/>
        </w:rPr>
        <w:sectPr w:rsidR="00FC1BE3" w:rsidSect="005F79D8">
          <w:footerReference w:type="even" r:id="rId8"/>
          <w:footerReference w:type="default" r:id="rId9"/>
          <w:pgSz w:w="12240" w:h="15840"/>
          <w:pgMar w:top="2160" w:right="1440" w:bottom="1440" w:left="1800" w:header="720" w:footer="720" w:gutter="0"/>
          <w:pgNumType w:fmt="lowerRoman" w:start="1"/>
          <w:cols w:space="720"/>
          <w:docGrid w:linePitch="299"/>
        </w:sectPr>
      </w:pPr>
      <w:r>
        <w:rPr>
          <w:b w:val="0"/>
          <w:szCs w:val="22"/>
        </w:rPr>
        <w:fldChar w:fldCharType="end"/>
      </w:r>
    </w:p>
    <w:p w14:paraId="3780D69E" w14:textId="77777777" w:rsidR="000C1C34" w:rsidRDefault="000C1C34" w:rsidP="000C1C34">
      <w:pPr>
        <w:pStyle w:val="Heading1"/>
      </w:pPr>
      <w:bookmarkStart w:id="0" w:name="_Toc225232873"/>
      <w:bookmarkStart w:id="1" w:name="_Toc404357130"/>
      <w:bookmarkStart w:id="2" w:name="_Toc48025248"/>
      <w:r>
        <w:lastRenderedPageBreak/>
        <w:t>About This Course</w:t>
      </w:r>
      <w:bookmarkEnd w:id="0"/>
      <w:bookmarkEnd w:id="1"/>
    </w:p>
    <w:p w14:paraId="64B62D55" w14:textId="77777777" w:rsidR="000C1C34" w:rsidRDefault="000C1C34" w:rsidP="000C1C34">
      <w:pPr>
        <w:pStyle w:val="Heading2"/>
      </w:pPr>
      <w:bookmarkStart w:id="3" w:name="_Toc225232874"/>
      <w:bookmarkStart w:id="4" w:name="_Toc404357131"/>
      <w:r>
        <w:t>Learning Objectives</w:t>
      </w:r>
      <w:bookmarkEnd w:id="3"/>
      <w:bookmarkEnd w:id="4"/>
    </w:p>
    <w:p w14:paraId="3BF61016" w14:textId="77777777" w:rsidR="000C1C34" w:rsidRDefault="000C1C34" w:rsidP="000C1C34">
      <w:pPr>
        <w:spacing w:before="120"/>
      </w:pPr>
      <w:r>
        <w:t>Upon completion of this basic course, the student should be able to:</w:t>
      </w:r>
    </w:p>
    <w:p w14:paraId="69D3FFA5" w14:textId="77777777" w:rsidR="000C1C34" w:rsidRPr="007B0176" w:rsidRDefault="000C1C34" w:rsidP="007A5E54">
      <w:pPr>
        <w:pStyle w:val="ListParagraph"/>
        <w:numPr>
          <w:ilvl w:val="0"/>
          <w:numId w:val="144"/>
        </w:numPr>
        <w:spacing w:after="0"/>
        <w:rPr>
          <w:szCs w:val="22"/>
        </w:rPr>
      </w:pPr>
      <w:r w:rsidRPr="007B0176">
        <w:rPr>
          <w:szCs w:val="22"/>
        </w:rPr>
        <w:t>Discuss the rules governing eligibility and permitted contribution levels for traditional and Roth IRAs</w:t>
      </w:r>
      <w:r w:rsidR="00A95039" w:rsidRPr="007B0176">
        <w:rPr>
          <w:szCs w:val="22"/>
        </w:rPr>
        <w:fldChar w:fldCharType="begin"/>
      </w:r>
      <w:r w:rsidR="00293611">
        <w:instrText xml:space="preserve"> XE "</w:instrText>
      </w:r>
      <w:r w:rsidR="00293611" w:rsidRPr="00CD56BD">
        <w:instrText>Roth IRAs</w:instrText>
      </w:r>
      <w:r w:rsidR="00293611">
        <w:instrText xml:space="preserve">" </w:instrText>
      </w:r>
      <w:r w:rsidR="00A95039" w:rsidRPr="007B0176">
        <w:rPr>
          <w:szCs w:val="22"/>
        </w:rPr>
        <w:fldChar w:fldCharType="end"/>
      </w:r>
      <w:r>
        <w:t>.</w:t>
      </w:r>
    </w:p>
    <w:p w14:paraId="05034D1D" w14:textId="77777777" w:rsidR="000C1C34" w:rsidRDefault="000C1C34" w:rsidP="007A5E54">
      <w:pPr>
        <w:pStyle w:val="ListParagraph"/>
        <w:numPr>
          <w:ilvl w:val="0"/>
          <w:numId w:val="144"/>
        </w:numPr>
        <w:tabs>
          <w:tab w:val="left" w:pos="360"/>
        </w:tabs>
        <w:overflowPunct w:val="0"/>
        <w:autoSpaceDE w:val="0"/>
        <w:autoSpaceDN w:val="0"/>
        <w:adjustRightInd w:val="0"/>
        <w:spacing w:before="120"/>
        <w:textAlignment w:val="baseline"/>
      </w:pPr>
      <w:r>
        <w:t xml:space="preserve">Explain </w:t>
      </w:r>
      <w:r w:rsidRPr="007B0176">
        <w:rPr>
          <w:szCs w:val="22"/>
        </w:rPr>
        <w:t>the tax treatment of contributions to and distributions from traditional and Roth IRAs</w:t>
      </w:r>
      <w:r w:rsidR="00A95039" w:rsidRPr="007B0176">
        <w:rPr>
          <w:szCs w:val="22"/>
        </w:rPr>
        <w:fldChar w:fldCharType="begin"/>
      </w:r>
      <w:r w:rsidR="00293611">
        <w:instrText xml:space="preserve"> XE "</w:instrText>
      </w:r>
      <w:r w:rsidR="00293611" w:rsidRPr="00CD56BD">
        <w:instrText>Roth IRAs</w:instrText>
      </w:r>
      <w:r w:rsidR="00293611">
        <w:instrText xml:space="preserve">" </w:instrText>
      </w:r>
      <w:r w:rsidR="00A95039" w:rsidRPr="007B0176">
        <w:rPr>
          <w:szCs w:val="22"/>
        </w:rPr>
        <w:fldChar w:fldCharType="end"/>
      </w:r>
      <w:r>
        <w:t>.</w:t>
      </w:r>
    </w:p>
    <w:p w14:paraId="6AB201C9" w14:textId="77777777" w:rsidR="000C1C34" w:rsidRDefault="000C1C34" w:rsidP="007A5E54">
      <w:pPr>
        <w:pStyle w:val="ListParagraph"/>
        <w:numPr>
          <w:ilvl w:val="0"/>
          <w:numId w:val="144"/>
        </w:numPr>
        <w:tabs>
          <w:tab w:val="left" w:pos="360"/>
        </w:tabs>
        <w:overflowPunct w:val="0"/>
        <w:autoSpaceDE w:val="0"/>
        <w:autoSpaceDN w:val="0"/>
        <w:adjustRightInd w:val="0"/>
        <w:spacing w:before="120" w:after="0"/>
        <w:textAlignment w:val="baseline"/>
      </w:pPr>
      <w:r w:rsidRPr="007B0176">
        <w:rPr>
          <w:szCs w:val="22"/>
        </w:rPr>
        <w:t>Describe the benefits of tax-deferred accumulation</w:t>
      </w:r>
      <w:r w:rsidR="00A95039">
        <w:fldChar w:fldCharType="begin"/>
      </w:r>
      <w:r>
        <w:instrText xml:space="preserve"> XE "</w:instrText>
      </w:r>
      <w:r w:rsidRPr="007B0176">
        <w:rPr>
          <w:b/>
        </w:rPr>
        <w:instrText>insurance needs analysis</w:instrText>
      </w:r>
      <w:r>
        <w:instrText xml:space="preserve">" </w:instrText>
      </w:r>
      <w:r w:rsidR="00A95039">
        <w:fldChar w:fldCharType="end"/>
      </w:r>
      <w:r>
        <w:t>.</w:t>
      </w:r>
    </w:p>
    <w:p w14:paraId="49FB7B53" w14:textId="77777777" w:rsidR="000C1C34" w:rsidRDefault="000C1C34" w:rsidP="007A5E54">
      <w:pPr>
        <w:pStyle w:val="BodyTextIndent2"/>
        <w:numPr>
          <w:ilvl w:val="0"/>
          <w:numId w:val="144"/>
        </w:numPr>
        <w:spacing w:line="240" w:lineRule="auto"/>
        <w:contextualSpacing/>
      </w:pPr>
      <w:r>
        <w:rPr>
          <w:szCs w:val="22"/>
        </w:rPr>
        <w:t>Explain the rules concerning permitted IRA investments</w:t>
      </w:r>
      <w:r>
        <w:t>.</w:t>
      </w:r>
    </w:p>
    <w:p w14:paraId="4FB6E9EE" w14:textId="77777777" w:rsidR="000C1C34" w:rsidRDefault="000C1C34" w:rsidP="007A5E54">
      <w:pPr>
        <w:pStyle w:val="BodyTextIndent2"/>
        <w:numPr>
          <w:ilvl w:val="0"/>
          <w:numId w:val="144"/>
        </w:numPr>
        <w:spacing w:before="120" w:line="240" w:lineRule="auto"/>
        <w:contextualSpacing/>
      </w:pPr>
      <w:r>
        <w:rPr>
          <w:szCs w:val="22"/>
        </w:rPr>
        <w:t>Discuss traditional and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distribution rules</w:t>
      </w:r>
      <w:r>
        <w:t>.</w:t>
      </w:r>
    </w:p>
    <w:p w14:paraId="373933F1" w14:textId="77777777" w:rsidR="000C1C34" w:rsidRDefault="000C1C34" w:rsidP="007A5E54">
      <w:pPr>
        <w:pStyle w:val="BodyTextIndent2"/>
        <w:numPr>
          <w:ilvl w:val="0"/>
          <w:numId w:val="144"/>
        </w:numPr>
        <w:spacing w:before="120" w:after="0" w:line="240" w:lineRule="auto"/>
        <w:contextualSpacing/>
      </w:pPr>
      <w:r>
        <w:rPr>
          <w:szCs w:val="22"/>
        </w:rPr>
        <w:t>Explain Coverdell Education Savings Account</w:t>
      </w:r>
      <w:r w:rsidR="00A95039">
        <w:rPr>
          <w:szCs w:val="22"/>
        </w:rPr>
        <w:fldChar w:fldCharType="begin"/>
      </w:r>
      <w:r w:rsidR="00293611">
        <w:instrText xml:space="preserve"> XE "</w:instrText>
      </w:r>
      <w:r w:rsidR="00293611" w:rsidRPr="00CD56BD">
        <w:instrText>Coverdell Education Savings Account</w:instrText>
      </w:r>
      <w:r w:rsidR="00293611">
        <w:instrText xml:space="preserve">" </w:instrText>
      </w:r>
      <w:r w:rsidR="00A95039">
        <w:rPr>
          <w:szCs w:val="22"/>
        </w:rPr>
        <w:fldChar w:fldCharType="end"/>
      </w:r>
      <w:r>
        <w:rPr>
          <w:szCs w:val="22"/>
        </w:rPr>
        <w:t xml:space="preserve"> contribution and distribution rules and their tax implications</w:t>
      </w:r>
      <w:r>
        <w:t xml:space="preserve">. </w:t>
      </w:r>
    </w:p>
    <w:p w14:paraId="288A6E48" w14:textId="77777777" w:rsidR="000C1C34" w:rsidRPr="007B0176" w:rsidRDefault="000C1C34" w:rsidP="007A5E54">
      <w:pPr>
        <w:pStyle w:val="ListParagraph"/>
        <w:numPr>
          <w:ilvl w:val="0"/>
          <w:numId w:val="144"/>
        </w:numPr>
        <w:rPr>
          <w:szCs w:val="22"/>
        </w:rPr>
      </w:pPr>
      <w:r w:rsidRPr="007B0176">
        <w:rPr>
          <w:szCs w:val="22"/>
        </w:rPr>
        <w:t xml:space="preserve">Discuss the contribution and distribution rules that apply to SEP IRAs and SIMPLE IRAs. </w:t>
      </w:r>
    </w:p>
    <w:p w14:paraId="61B58FCE" w14:textId="77777777" w:rsidR="000C1C34" w:rsidRDefault="000C1C34" w:rsidP="000C1C34">
      <w:pPr>
        <w:pStyle w:val="BodyTextIndent2"/>
        <w:spacing w:before="120"/>
        <w:ind w:left="0"/>
      </w:pPr>
      <w:r>
        <w:t>No prerequisite or advance preparation is necessary.</w:t>
      </w:r>
    </w:p>
    <w:p w14:paraId="0D5AAEE6" w14:textId="77777777" w:rsidR="000C1C34" w:rsidRDefault="000C1C34" w:rsidP="000C1C34">
      <w:pPr>
        <w:pStyle w:val="Heading2"/>
      </w:pPr>
      <w:bookmarkStart w:id="5" w:name="_Toc225232875"/>
      <w:bookmarkStart w:id="6" w:name="_Toc404357132"/>
      <w:r>
        <w:t>How You Will Learn</w:t>
      </w:r>
      <w:bookmarkEnd w:id="5"/>
      <w:bookmarkEnd w:id="6"/>
    </w:p>
    <w:p w14:paraId="6AF477F5" w14:textId="77777777" w:rsidR="000C1C34" w:rsidRDefault="000C1C34" w:rsidP="000C1C34">
      <w:r>
        <w:t xml:space="preserve">In this course you will be introduced to terms and concepts used in connection with </w:t>
      </w:r>
      <w:r w:rsidR="002E3FC4">
        <w:t>individual retirement accounts</w:t>
      </w:r>
      <w:r>
        <w:t xml:space="preserve">. Each new term is defined in the text and included in the Glossary. The concepts are explained and, where appropriate, are demonstrated through the use of examples. </w:t>
      </w:r>
    </w:p>
    <w:p w14:paraId="3FAADA01" w14:textId="77777777" w:rsidR="000C1C34" w:rsidRDefault="000C1C34" w:rsidP="000C1C34">
      <w:r>
        <w:t xml:space="preserve">At the conclusion of each </w:t>
      </w:r>
      <w:r w:rsidR="00293611">
        <w:t>important section</w:t>
      </w:r>
      <w:r>
        <w:t xml:space="preserve">, a Review </w:t>
      </w:r>
      <w:r w:rsidR="00293611">
        <w:t xml:space="preserve">Quiz </w:t>
      </w:r>
      <w:r>
        <w:t>is presented to test comprehension of the material presented. A response is given to each answer you select to the questions in the Review</w:t>
      </w:r>
      <w:r w:rsidR="00293611">
        <w:t xml:space="preserve"> Quiz</w:t>
      </w:r>
      <w:r>
        <w:t xml:space="preserve"> affirming the correct choice or explaining why the choice you selected was incorrect.</w:t>
      </w:r>
    </w:p>
    <w:p w14:paraId="187A36B3" w14:textId="77777777" w:rsidR="000C1C34" w:rsidRDefault="000C1C34" w:rsidP="000C1C34">
      <w:pPr>
        <w:pStyle w:val="Heading2"/>
      </w:pPr>
      <w:bookmarkStart w:id="7" w:name="_Toc225232876"/>
      <w:bookmarkStart w:id="8" w:name="_Toc404357133"/>
      <w:r>
        <w:t>Why This Information is Important and How You Can Use It</w:t>
      </w:r>
      <w:bookmarkEnd w:id="7"/>
      <w:bookmarkEnd w:id="8"/>
    </w:p>
    <w:p w14:paraId="23913ECE" w14:textId="77777777" w:rsidR="002E3FC4" w:rsidRDefault="000C1C34" w:rsidP="000C1C34">
      <w:r>
        <w:t xml:space="preserve">This information is important for advisers </w:t>
      </w:r>
      <w:r w:rsidR="002E3FC4">
        <w:t>who are counseling clients on the eligibility, taxation and other rules applicable to individual retirement account</w:t>
      </w:r>
      <w:r w:rsidR="00837F7D">
        <w:t>s</w:t>
      </w:r>
      <w:r>
        <w:t xml:space="preserve">. </w:t>
      </w:r>
      <w:r w:rsidR="002E3FC4">
        <w:t xml:space="preserve">Accordingly, the course provides information concerning </w:t>
      </w:r>
      <w:r w:rsidR="002E3FC4" w:rsidRPr="00C0129C">
        <w:rPr>
          <w:szCs w:val="22"/>
        </w:rPr>
        <w:t xml:space="preserve">the </w:t>
      </w:r>
      <w:r w:rsidR="002E3FC4">
        <w:rPr>
          <w:szCs w:val="22"/>
        </w:rPr>
        <w:t xml:space="preserve">tax </w:t>
      </w:r>
      <w:r w:rsidR="002E3FC4" w:rsidRPr="00C0129C">
        <w:rPr>
          <w:szCs w:val="22"/>
        </w:rPr>
        <w:t>treatment of contributions, accumulations, transfers and distributions</w:t>
      </w:r>
      <w:r w:rsidR="002E3FC4">
        <w:rPr>
          <w:szCs w:val="22"/>
        </w:rPr>
        <w:t xml:space="preserve"> as well as</w:t>
      </w:r>
      <w:r w:rsidR="002E3FC4" w:rsidRPr="00C0129C">
        <w:rPr>
          <w:szCs w:val="22"/>
        </w:rPr>
        <w:t xml:space="preserve"> </w:t>
      </w:r>
      <w:r w:rsidR="002E3FC4">
        <w:rPr>
          <w:szCs w:val="22"/>
        </w:rPr>
        <w:t>t</w:t>
      </w:r>
      <w:r w:rsidR="002E3FC4" w:rsidRPr="00C0129C">
        <w:rPr>
          <w:szCs w:val="22"/>
        </w:rPr>
        <w:t xml:space="preserve">he premature distribution penalties </w:t>
      </w:r>
      <w:r w:rsidR="002E3FC4">
        <w:rPr>
          <w:szCs w:val="22"/>
        </w:rPr>
        <w:t>and required minimum distribution penalties that may apply</w:t>
      </w:r>
      <w:r w:rsidR="002E3FC4" w:rsidRPr="00C0129C">
        <w:rPr>
          <w:szCs w:val="22"/>
        </w:rPr>
        <w:t>.</w:t>
      </w:r>
    </w:p>
    <w:p w14:paraId="16232D25" w14:textId="77777777" w:rsidR="000C1C34" w:rsidRDefault="002E3FC4" w:rsidP="000C1C34">
      <w:r>
        <w:t xml:space="preserve">By fully understanding the rules applicable to various types of individual retirement accounts, </w:t>
      </w:r>
      <w:r w:rsidR="000C1C34">
        <w:t>adviser</w:t>
      </w:r>
      <w:r>
        <w:t>s will be</w:t>
      </w:r>
      <w:r w:rsidR="000C1C34">
        <w:t xml:space="preserve"> better </w:t>
      </w:r>
      <w:r>
        <w:t>able to meet</w:t>
      </w:r>
      <w:r w:rsidR="000C1C34">
        <w:t xml:space="preserve"> </w:t>
      </w:r>
      <w:r>
        <w:t xml:space="preserve">their clients’ </w:t>
      </w:r>
      <w:r w:rsidR="000C1C34">
        <w:t>needs.</w:t>
      </w:r>
    </w:p>
    <w:p w14:paraId="5E87A2C8" w14:textId="77777777" w:rsidR="000B485C" w:rsidRPr="00825E0B" w:rsidRDefault="000C1C34" w:rsidP="00825E0B">
      <w:pPr>
        <w:pStyle w:val="Heading1"/>
      </w:pPr>
      <w:r>
        <w:br w:type="page"/>
      </w:r>
      <w:bookmarkStart w:id="9" w:name="_Toc404357134"/>
      <w:r w:rsidR="005A4CD2">
        <w:lastRenderedPageBreak/>
        <w:t>Chapter</w:t>
      </w:r>
      <w:r w:rsidR="005A4E82">
        <w:t xml:space="preserve"> </w:t>
      </w:r>
      <w:r w:rsidR="00825E0B">
        <w:t>1</w:t>
      </w:r>
      <w:r w:rsidR="00825E0B">
        <w:br/>
      </w:r>
      <w:r w:rsidR="005A4E82">
        <w:t>Traditional Individual Retirement Accounts</w:t>
      </w:r>
      <w:bookmarkEnd w:id="2"/>
      <w:bookmarkEnd w:id="9"/>
    </w:p>
    <w:p w14:paraId="147CB14B" w14:textId="77777777" w:rsidR="000B485C" w:rsidRPr="00352D2D" w:rsidRDefault="000B485C" w:rsidP="00825E0B">
      <w:pPr>
        <w:pStyle w:val="Heading2"/>
        <w:rPr>
          <w:szCs w:val="26"/>
        </w:rPr>
      </w:pPr>
      <w:bookmarkStart w:id="10" w:name="_Toc48025249"/>
      <w:bookmarkStart w:id="11" w:name="_Toc404357135"/>
      <w:r w:rsidRPr="00352D2D">
        <w:t>Important Lesson Points</w:t>
      </w:r>
      <w:bookmarkEnd w:id="10"/>
      <w:bookmarkEnd w:id="11"/>
    </w:p>
    <w:p w14:paraId="0EAA4D89" w14:textId="77777777" w:rsidR="006937B8" w:rsidRPr="00825E0B" w:rsidRDefault="006937B8" w:rsidP="00825E0B">
      <w:pPr>
        <w:rPr>
          <w:szCs w:val="22"/>
        </w:rPr>
      </w:pPr>
      <w:r w:rsidRPr="00825E0B">
        <w:rPr>
          <w:szCs w:val="22"/>
        </w:rPr>
        <w:t>The important points addressed in this lesson are:</w:t>
      </w:r>
    </w:p>
    <w:p w14:paraId="366D3898" w14:textId="77777777" w:rsidR="006937B8" w:rsidRPr="00297ACB" w:rsidRDefault="006937B8" w:rsidP="007A5E54">
      <w:pPr>
        <w:pStyle w:val="ListParagraph"/>
        <w:numPr>
          <w:ilvl w:val="0"/>
          <w:numId w:val="126"/>
        </w:numPr>
        <w:ind w:left="720"/>
      </w:pPr>
      <w:r w:rsidRPr="00297ACB">
        <w:t>Individual retirement accounts, initially authorized by Congress to enable individuals to make tax-deductible contributions to their personal retirement plan, have expanded to provide spousal benefits, education benefits, and—in certain cases—tax-free retirement benefits</w:t>
      </w:r>
    </w:p>
    <w:p w14:paraId="1720DF0F" w14:textId="77777777" w:rsidR="006937B8" w:rsidRPr="00297ACB" w:rsidRDefault="006238A9" w:rsidP="007A5E54">
      <w:pPr>
        <w:pStyle w:val="ListParagraph"/>
        <w:numPr>
          <w:ilvl w:val="0"/>
          <w:numId w:val="126"/>
        </w:numPr>
        <w:ind w:left="720"/>
      </w:pPr>
      <w:r w:rsidRPr="00297ACB">
        <w:t>Except for spousal IRAs, the only eligibility requirements to establish a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are earned income</w:t>
      </w:r>
      <w:r w:rsidR="00A95039">
        <w:fldChar w:fldCharType="begin"/>
      </w:r>
      <w:r w:rsidR="00293611">
        <w:instrText xml:space="preserve"> XE "</w:instrText>
      </w:r>
      <w:r w:rsidR="00293611" w:rsidRPr="008D43E5">
        <w:rPr>
          <w:szCs w:val="22"/>
        </w:rPr>
        <w:instrText>earned income</w:instrText>
      </w:r>
      <w:r w:rsidR="00293611">
        <w:instrText xml:space="preserve">" </w:instrText>
      </w:r>
      <w:r w:rsidR="00A95039">
        <w:fldChar w:fldCharType="end"/>
      </w:r>
      <w:r w:rsidRPr="00297ACB">
        <w:t xml:space="preserve"> and </w:t>
      </w:r>
      <w:r w:rsidR="00FF554C">
        <w:t xml:space="preserve">(except in the case of Roth IRAs) </w:t>
      </w:r>
      <w:r w:rsidRPr="00297ACB">
        <w:t>not having reached age 70½</w:t>
      </w:r>
      <w:r w:rsidR="00A95039">
        <w:fldChar w:fldCharType="begin"/>
      </w:r>
      <w:r w:rsidR="00293611">
        <w:instrText xml:space="preserve"> XE "</w:instrText>
      </w:r>
      <w:r w:rsidR="00293611" w:rsidRPr="008D43E5">
        <w:rPr>
          <w:szCs w:val="22"/>
        </w:rPr>
        <w:instrText>age 70½</w:instrText>
      </w:r>
      <w:r w:rsidR="00293611">
        <w:instrText xml:space="preserve">" </w:instrText>
      </w:r>
      <w:r w:rsidR="00A95039">
        <w:fldChar w:fldCharType="end"/>
      </w:r>
    </w:p>
    <w:p w14:paraId="631A12FF" w14:textId="77777777" w:rsidR="006238A9" w:rsidRPr="00297ACB" w:rsidRDefault="006238A9" w:rsidP="007A5E54">
      <w:pPr>
        <w:pStyle w:val="ListParagraph"/>
        <w:numPr>
          <w:ilvl w:val="0"/>
          <w:numId w:val="126"/>
        </w:numPr>
        <w:ind w:left="720"/>
      </w:pPr>
      <w:r w:rsidRPr="00297ACB">
        <w:t>The maximum annual IRA contribution applies to the aggregate contribution to both traditional and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rsidRPr="00297ACB">
        <w:t xml:space="preserve"> and have been increased by the Economic Growth and Tax Relief Rec</w:t>
      </w:r>
      <w:r w:rsidR="00352D2D" w:rsidRPr="00297ACB">
        <w:t>onciliation Act of 2001</w:t>
      </w:r>
      <w:r w:rsidR="00A95039">
        <w:fldChar w:fldCharType="begin"/>
      </w:r>
      <w:r w:rsidR="00293611">
        <w:instrText xml:space="preserve"> XE "</w:instrText>
      </w:r>
      <w:r w:rsidR="00293611" w:rsidRPr="008D43E5">
        <w:rPr>
          <w:szCs w:val="22"/>
        </w:rPr>
        <w:instrText>Economic Growth and Tax Relief Reconciliation Act of 2001</w:instrText>
      </w:r>
      <w:r w:rsidR="00293611">
        <w:instrText xml:space="preserve">" </w:instrText>
      </w:r>
      <w:r w:rsidR="00A95039">
        <w:fldChar w:fldCharType="end"/>
      </w:r>
      <w:r w:rsidR="00352D2D" w:rsidRPr="00297ACB">
        <w:t xml:space="preserve"> (EGTRRA)</w:t>
      </w:r>
    </w:p>
    <w:p w14:paraId="7A57A496" w14:textId="77777777" w:rsidR="006238A9" w:rsidRPr="00297ACB" w:rsidRDefault="006238A9" w:rsidP="007A5E54">
      <w:pPr>
        <w:pStyle w:val="ListParagraph"/>
        <w:numPr>
          <w:ilvl w:val="0"/>
          <w:numId w:val="126"/>
        </w:numPr>
        <w:ind w:left="720"/>
      </w:pPr>
      <w:r w:rsidRPr="00297ACB">
        <w:t>EGTRRA has made provision for catch-up IRA contributions for individuals age 50 and over and for nonrefundable tax credits for certain lower-income contributors</w:t>
      </w:r>
    </w:p>
    <w:p w14:paraId="0F521A89" w14:textId="77777777" w:rsidR="000D6B44" w:rsidRPr="00297ACB" w:rsidRDefault="006238A9" w:rsidP="007A5E54">
      <w:pPr>
        <w:pStyle w:val="ListParagraph"/>
        <w:numPr>
          <w:ilvl w:val="0"/>
          <w:numId w:val="126"/>
        </w:numPr>
        <w:ind w:left="720"/>
      </w:pPr>
      <w:r w:rsidRPr="00297ACB">
        <w:t xml:space="preserve">Although </w:t>
      </w:r>
      <w:r w:rsidR="000D6B44" w:rsidRPr="00297ACB">
        <w:t>there is broad eligibility to make a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000D6B44" w:rsidRPr="00297ACB">
        <w:t xml:space="preserve"> contribution, deductibility of a traditional IRA contribution may be reduced or eliminated for active participants in an employer-sponsored retirement plan</w:t>
      </w:r>
      <w:r w:rsidR="00A95039">
        <w:fldChar w:fldCharType="begin"/>
      </w:r>
      <w:r w:rsidR="00293611">
        <w:instrText xml:space="preserve"> XE "</w:instrText>
      </w:r>
      <w:r w:rsidR="00293611" w:rsidRPr="008D43E5">
        <w:rPr>
          <w:szCs w:val="22"/>
        </w:rPr>
        <w:instrText>employer-sponsored retirement plan</w:instrText>
      </w:r>
      <w:r w:rsidR="00293611">
        <w:instrText xml:space="preserve">" </w:instrText>
      </w:r>
      <w:r w:rsidR="00A95039">
        <w:fldChar w:fldCharType="end"/>
      </w:r>
      <w:r w:rsidR="00BA4049">
        <w:t>, depending on their adjusted gross income</w:t>
      </w:r>
      <w:r w:rsidR="00A95039">
        <w:fldChar w:fldCharType="begin"/>
      </w:r>
      <w:r w:rsidR="00293611">
        <w:instrText xml:space="preserve"> XE "</w:instrText>
      </w:r>
      <w:r w:rsidR="00293611" w:rsidRPr="008D43E5">
        <w:rPr>
          <w:szCs w:val="22"/>
        </w:rPr>
        <w:instrText>adjusted gross income</w:instrText>
      </w:r>
      <w:r w:rsidR="00293611">
        <w:instrText xml:space="preserve">" </w:instrText>
      </w:r>
      <w:r w:rsidR="00A95039">
        <w:fldChar w:fldCharType="end"/>
      </w:r>
    </w:p>
    <w:p w14:paraId="5BD0BFFA" w14:textId="77777777" w:rsidR="00DC4341" w:rsidRPr="00297ACB" w:rsidRDefault="00DC4341" w:rsidP="007A5E54">
      <w:pPr>
        <w:pStyle w:val="ListParagraph"/>
        <w:numPr>
          <w:ilvl w:val="0"/>
          <w:numId w:val="126"/>
        </w:numPr>
        <w:ind w:left="720"/>
      </w:pPr>
      <w:r w:rsidRPr="00297ACB">
        <w:t>Traditional individual retirement accounts enjoy income tax advantages—contribution deductibility and income tax deferral</w:t>
      </w:r>
      <w:r w:rsidR="00837F7D">
        <w:t xml:space="preserve"> of gain</w:t>
      </w:r>
      <w:r w:rsidRPr="00297ACB">
        <w:t>—that can dramatically increase accumulations</w:t>
      </w:r>
    </w:p>
    <w:p w14:paraId="7261BB39" w14:textId="77777777" w:rsidR="00DC4341" w:rsidRPr="00297ACB" w:rsidRDefault="00DC4341" w:rsidP="007A5E54">
      <w:pPr>
        <w:pStyle w:val="ListParagraph"/>
        <w:numPr>
          <w:ilvl w:val="0"/>
          <w:numId w:val="126"/>
        </w:numPr>
        <w:ind w:left="720"/>
      </w:pPr>
      <w:r w:rsidRPr="00297ACB">
        <w:t>The generally greater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accumulations due to tax-deductibility and tax-deferral result from the ability of earnings that might have otherwise been used to pay taxes to remain in the account and earn additional income</w:t>
      </w:r>
    </w:p>
    <w:p w14:paraId="2A587F02" w14:textId="77777777" w:rsidR="00DC4341" w:rsidRPr="00297ACB" w:rsidRDefault="00DC4341" w:rsidP="007A5E54">
      <w:pPr>
        <w:pStyle w:val="ListParagraph"/>
        <w:numPr>
          <w:ilvl w:val="0"/>
          <w:numId w:val="126"/>
        </w:numPr>
        <w:ind w:left="720"/>
      </w:pPr>
      <w:r w:rsidRPr="00297ACB">
        <w:t>The longer that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contributions remain in an account the greater the positive effects on accumulations of tax-deductibility and tax-deferral</w:t>
      </w:r>
    </w:p>
    <w:p w14:paraId="200D2899" w14:textId="77777777" w:rsidR="00DC4341" w:rsidRPr="00297ACB" w:rsidRDefault="00DC4341" w:rsidP="007A5E54">
      <w:pPr>
        <w:pStyle w:val="ListParagraph"/>
        <w:numPr>
          <w:ilvl w:val="0"/>
          <w:numId w:val="126"/>
        </w:numPr>
        <w:ind w:left="720"/>
      </w:pPr>
      <w:r w:rsidRPr="00297ACB">
        <w:t>Funds in a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may be rolled over to another traditional IRA or to a qualified plan, a §403(b) tax-sheltered annuity or a §457 governmental plan</w:t>
      </w:r>
    </w:p>
    <w:p w14:paraId="33DB4A41" w14:textId="77777777" w:rsidR="00DC4341" w:rsidRPr="00297ACB" w:rsidRDefault="00DC4341" w:rsidP="007A5E54">
      <w:pPr>
        <w:pStyle w:val="ListParagraph"/>
        <w:numPr>
          <w:ilvl w:val="0"/>
          <w:numId w:val="126"/>
        </w:numPr>
        <w:ind w:left="720"/>
      </w:pPr>
      <w:r w:rsidRPr="00297ACB">
        <w:t>Funds that are rolled over according to the rules prescribed in the Internal Revenue Code avoid current inclusion in income and continue to enjoy tax deferral</w:t>
      </w:r>
    </w:p>
    <w:p w14:paraId="7EBC5CD4" w14:textId="77777777" w:rsidR="00DC4341" w:rsidRPr="00297ACB" w:rsidRDefault="00887A0A" w:rsidP="007A5E54">
      <w:pPr>
        <w:pStyle w:val="ListParagraph"/>
        <w:numPr>
          <w:ilvl w:val="0"/>
          <w:numId w:val="126"/>
        </w:numPr>
        <w:ind w:left="720"/>
      </w:pPr>
      <w:r>
        <w:t xml:space="preserve">Distributions </w:t>
      </w:r>
      <w:r w:rsidRPr="00297ACB">
        <w:t xml:space="preserve">from </w:t>
      </w:r>
      <w:r>
        <w:t xml:space="preserve">qualified plans </w:t>
      </w:r>
      <w:r w:rsidRPr="00297ACB">
        <w:t>are subject to 20</w:t>
      </w:r>
      <w:r>
        <w:t xml:space="preserve">% income tax </w:t>
      </w:r>
      <w:r w:rsidRPr="00297ACB">
        <w:t xml:space="preserve">withholding </w:t>
      </w:r>
      <w:r>
        <w:t xml:space="preserve">even if the distributed funds are subsequently rolled over. Participants may avoid the tax withholding on </w:t>
      </w:r>
      <w:r w:rsidR="00837F7D">
        <w:t xml:space="preserve">qualified plan </w:t>
      </w:r>
      <w:r>
        <w:t xml:space="preserve">rollovers </w:t>
      </w:r>
      <w:r w:rsidRPr="00297ACB">
        <w:t xml:space="preserve">by </w:t>
      </w:r>
      <w:r>
        <w:t xml:space="preserve">arranging for a direct </w:t>
      </w:r>
      <w:r w:rsidRPr="00297ACB">
        <w:t xml:space="preserve">rollover on a trustee-to-trustee </w:t>
      </w:r>
      <w:proofErr w:type="gramStart"/>
      <w:r w:rsidRPr="00297ACB">
        <w:t>basis</w:t>
      </w:r>
      <w:r>
        <w:t>..</w:t>
      </w:r>
      <w:proofErr w:type="gramEnd"/>
    </w:p>
    <w:p w14:paraId="1B421A38" w14:textId="77777777" w:rsidR="00DC4341" w:rsidRPr="00297ACB" w:rsidRDefault="00B627DE" w:rsidP="007A5E54">
      <w:pPr>
        <w:pStyle w:val="ListParagraph"/>
        <w:numPr>
          <w:ilvl w:val="0"/>
          <w:numId w:val="126"/>
        </w:numPr>
        <w:ind w:left="720"/>
      </w:pPr>
      <w:r>
        <w:t>Rollovers of d</w:t>
      </w:r>
      <w:r w:rsidR="00DC4341" w:rsidRPr="00297ACB">
        <w:t>istributions from IRAs, qualified plans, §403(b) tax-sheltered annuities</w:t>
      </w:r>
      <w:r w:rsidR="00A95039">
        <w:fldChar w:fldCharType="begin"/>
      </w:r>
      <w:r w:rsidR="00293611">
        <w:instrText xml:space="preserve"> XE "</w:instrText>
      </w:r>
      <w:r w:rsidR="00293611" w:rsidRPr="008D43E5">
        <w:rPr>
          <w:szCs w:val="22"/>
        </w:rPr>
        <w:instrText>annuities</w:instrText>
      </w:r>
      <w:r w:rsidR="00293611">
        <w:instrText xml:space="preserve">" </w:instrText>
      </w:r>
      <w:r w:rsidR="00A95039">
        <w:fldChar w:fldCharType="end"/>
      </w:r>
      <w:r w:rsidR="00DC4341" w:rsidRPr="00297ACB">
        <w:t xml:space="preserve"> or a §457 governmental plans must be completed within 60 days of distribution in order to retain their tax advantages</w:t>
      </w:r>
    </w:p>
    <w:p w14:paraId="51F48AB8" w14:textId="77777777" w:rsidR="00DC4341" w:rsidRPr="00297ACB" w:rsidRDefault="00DC4341" w:rsidP="007A5E54">
      <w:pPr>
        <w:pStyle w:val="ListParagraph"/>
        <w:numPr>
          <w:ilvl w:val="0"/>
          <w:numId w:val="126"/>
        </w:numPr>
        <w:ind w:left="720"/>
      </w:pPr>
      <w:r w:rsidRPr="00297ACB">
        <w:lastRenderedPageBreak/>
        <w:t>The Economic Growth and Tax Relief Reconciliation Act of 2001</w:t>
      </w:r>
      <w:r w:rsidR="00A95039">
        <w:fldChar w:fldCharType="begin"/>
      </w:r>
      <w:r w:rsidR="00293611">
        <w:instrText xml:space="preserve"> XE "</w:instrText>
      </w:r>
      <w:r w:rsidR="00293611" w:rsidRPr="008D43E5">
        <w:rPr>
          <w:szCs w:val="22"/>
        </w:rPr>
        <w:instrText>Economic Growth and Tax Relief Reconciliation Act of 2001</w:instrText>
      </w:r>
      <w:r w:rsidR="00293611">
        <w:instrText xml:space="preserve">" </w:instrText>
      </w:r>
      <w:r w:rsidR="00A95039">
        <w:fldChar w:fldCharType="end"/>
      </w:r>
      <w:r w:rsidRPr="00297ACB">
        <w:t xml:space="preserve"> (EGTRRA) liberalized the rules governing rollovers by permitting rollovers of certain after-tax contributions and enabling the Secretary of the Treasury to waive the 60-day rule</w:t>
      </w:r>
      <w:r w:rsidR="00A95039">
        <w:fldChar w:fldCharType="begin"/>
      </w:r>
      <w:r w:rsidR="00293611">
        <w:instrText xml:space="preserve"> XE "</w:instrText>
      </w:r>
      <w:r w:rsidR="00293611" w:rsidRPr="008D43E5">
        <w:rPr>
          <w:szCs w:val="22"/>
        </w:rPr>
        <w:instrText>60-day rule</w:instrText>
      </w:r>
      <w:r w:rsidR="00293611">
        <w:instrText xml:space="preserve">" </w:instrText>
      </w:r>
      <w:r w:rsidR="00A95039">
        <w:fldChar w:fldCharType="end"/>
      </w:r>
      <w:r w:rsidRPr="00297ACB">
        <w:t xml:space="preserve"> when the facts support the waiver</w:t>
      </w:r>
    </w:p>
    <w:p w14:paraId="2D7A8D69" w14:textId="77777777" w:rsidR="00DC4341" w:rsidRPr="00297ACB" w:rsidRDefault="00DC4341" w:rsidP="007A5E54">
      <w:pPr>
        <w:pStyle w:val="ListParagraph"/>
        <w:numPr>
          <w:ilvl w:val="0"/>
          <w:numId w:val="126"/>
        </w:numPr>
        <w:ind w:left="720"/>
      </w:pPr>
      <w:r w:rsidRPr="00297ACB">
        <w:t xml:space="preserve">Traditional individual retirement account distributions, other than </w:t>
      </w:r>
      <w:r w:rsidR="00B627DE">
        <w:t xml:space="preserve">distributions of </w:t>
      </w:r>
      <w:r w:rsidRPr="00297ACB">
        <w:t>after-tax contributions, are fully taxable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Pr="00297ACB">
        <w:t xml:space="preserve"> in the year in which received</w:t>
      </w:r>
    </w:p>
    <w:p w14:paraId="518FC372" w14:textId="77777777" w:rsidR="00DC4341" w:rsidRPr="00297ACB" w:rsidRDefault="00DC4341" w:rsidP="007A5E54">
      <w:pPr>
        <w:pStyle w:val="ListParagraph"/>
        <w:numPr>
          <w:ilvl w:val="0"/>
          <w:numId w:val="126"/>
        </w:numPr>
        <w:ind w:left="720"/>
      </w:pPr>
      <w:r w:rsidRPr="00297ACB">
        <w:t>Normal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distributions may begin without</w:t>
      </w:r>
      <w:r w:rsidR="00887A0A" w:rsidRPr="00887A0A">
        <w:t xml:space="preserve"> </w:t>
      </w:r>
      <w:r w:rsidR="00887A0A">
        <w:t>a premature distribution</w:t>
      </w:r>
      <w:r w:rsidRPr="00297ACB">
        <w:t xml:space="preserve"> tax penalty when the owner attains age 59½</w:t>
      </w:r>
      <w:r w:rsidR="00A95039">
        <w:fldChar w:fldCharType="begin"/>
      </w:r>
      <w:r w:rsidR="00500F1D">
        <w:instrText xml:space="preserve"> XE "</w:instrText>
      </w:r>
      <w:r w:rsidR="00500F1D" w:rsidRPr="008D43E5">
        <w:rPr>
          <w:szCs w:val="22"/>
        </w:rPr>
        <w:instrText>age 59½</w:instrText>
      </w:r>
      <w:r w:rsidR="00500F1D">
        <w:instrText xml:space="preserve">" </w:instrText>
      </w:r>
      <w:r w:rsidR="00A95039">
        <w:fldChar w:fldCharType="end"/>
      </w:r>
    </w:p>
    <w:p w14:paraId="1349BF23" w14:textId="77777777" w:rsidR="00DC4341" w:rsidRPr="00297ACB" w:rsidRDefault="00DC4341" w:rsidP="007A5E54">
      <w:pPr>
        <w:pStyle w:val="ListParagraph"/>
        <w:numPr>
          <w:ilvl w:val="0"/>
          <w:numId w:val="126"/>
        </w:numPr>
        <w:ind w:left="720"/>
      </w:pPr>
      <w:r w:rsidRPr="00297ACB">
        <w:t>Premature distributions from traditional IRAs, in addition to the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Pr="00297ACB">
        <w:t xml:space="preserve"> tax payable, are subject to a tax penalty equal to 10 percent of the taxable distribution</w:t>
      </w:r>
    </w:p>
    <w:p w14:paraId="0F366993" w14:textId="77777777" w:rsidR="00DC4341" w:rsidRPr="00297ACB" w:rsidRDefault="00DC4341" w:rsidP="007A5E54">
      <w:pPr>
        <w:pStyle w:val="ListParagraph"/>
        <w:numPr>
          <w:ilvl w:val="0"/>
          <w:numId w:val="126"/>
        </w:numPr>
        <w:ind w:left="720"/>
      </w:pPr>
      <w:r w:rsidRPr="00297ACB">
        <w:t>Certain exceptions apply by virtue of which the premature disbursement tax penalty is waived</w:t>
      </w:r>
    </w:p>
    <w:p w14:paraId="357CE74C" w14:textId="77777777" w:rsidR="00DC4341" w:rsidRPr="00297ACB" w:rsidRDefault="00DC4341" w:rsidP="007A5E54">
      <w:pPr>
        <w:pStyle w:val="ListParagraph"/>
        <w:numPr>
          <w:ilvl w:val="0"/>
          <w:numId w:val="126"/>
        </w:numPr>
        <w:ind w:left="720"/>
      </w:pPr>
      <w:r w:rsidRPr="00297ACB">
        <w:t>Non-deductible contributions</w:t>
      </w:r>
      <w:r w:rsidR="00A95039">
        <w:fldChar w:fldCharType="begin"/>
      </w:r>
      <w:r w:rsidR="00500F1D">
        <w:instrText xml:space="preserve"> XE "</w:instrText>
      </w:r>
      <w:r w:rsidR="00500F1D" w:rsidRPr="008D43E5">
        <w:rPr>
          <w:szCs w:val="22"/>
        </w:rPr>
        <w:instrText>Non-deductible IRA contributions</w:instrText>
      </w:r>
      <w:r w:rsidR="00500F1D">
        <w:instrText xml:space="preserve">" </w:instrText>
      </w:r>
      <w:r w:rsidR="00A95039">
        <w:fldChar w:fldCharType="end"/>
      </w:r>
      <w:r w:rsidRPr="00297ACB">
        <w:t xml:space="preserve"> are received tax-free from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297ACB">
        <w:t xml:space="preserve"> distributions</w:t>
      </w:r>
    </w:p>
    <w:p w14:paraId="13C21F9C" w14:textId="77777777" w:rsidR="00DC4341" w:rsidRPr="00297ACB" w:rsidRDefault="00827A5A" w:rsidP="007A5E54">
      <w:pPr>
        <w:pStyle w:val="ListParagraph"/>
        <w:numPr>
          <w:ilvl w:val="0"/>
          <w:numId w:val="126"/>
        </w:numPr>
        <w:ind w:left="720"/>
      </w:pPr>
      <w:r>
        <w:t>R</w:t>
      </w:r>
      <w:r w:rsidR="00DC4341" w:rsidRPr="00297ACB">
        <w:t xml:space="preserve">equired </w:t>
      </w:r>
      <w:r>
        <w:t xml:space="preserve">minimum </w:t>
      </w:r>
      <w:r w:rsidR="00DC4341" w:rsidRPr="00297ACB">
        <w:t>distributions (R</w:t>
      </w:r>
      <w:r>
        <w:t>M</w:t>
      </w:r>
      <w:r w:rsidR="00DC4341" w:rsidRPr="00297ACB">
        <w:t>Ds) from traditional IRAs must begin by the owner’s age 70½</w:t>
      </w:r>
      <w:r w:rsidR="00A95039">
        <w:fldChar w:fldCharType="begin"/>
      </w:r>
      <w:r w:rsidR="00293611">
        <w:instrText xml:space="preserve"> XE "</w:instrText>
      </w:r>
      <w:r w:rsidR="00293611" w:rsidRPr="008D43E5">
        <w:rPr>
          <w:szCs w:val="22"/>
        </w:rPr>
        <w:instrText>age 70½</w:instrText>
      </w:r>
      <w:r w:rsidR="00293611">
        <w:instrText xml:space="preserve">" </w:instrText>
      </w:r>
      <w:r w:rsidR="00A95039">
        <w:fldChar w:fldCharType="end"/>
      </w:r>
    </w:p>
    <w:p w14:paraId="194364B6" w14:textId="77777777" w:rsidR="00DC4341" w:rsidRDefault="00887A0A" w:rsidP="007A5E54">
      <w:pPr>
        <w:pStyle w:val="ListParagraph"/>
        <w:numPr>
          <w:ilvl w:val="0"/>
          <w:numId w:val="126"/>
        </w:numPr>
        <w:ind w:left="720"/>
      </w:pPr>
      <w:r>
        <w:t>T</w:t>
      </w:r>
      <w:r w:rsidRPr="00EF6A67">
        <w:t>raditional IRA</w:t>
      </w:r>
      <w:r>
        <w:t xml:space="preserve"> owner</w:t>
      </w:r>
      <w:r w:rsidRPr="00EF6A67">
        <w:t xml:space="preserve">s </w:t>
      </w:r>
      <w:proofErr w:type="gramStart"/>
      <w:r>
        <w:t>age</w:t>
      </w:r>
      <w:proofErr w:type="gramEnd"/>
      <w:r>
        <w:t xml:space="preserve"> 70 ½ and older who </w:t>
      </w:r>
      <w:r w:rsidRPr="00EF6A67">
        <w:t>fail to</w:t>
      </w:r>
      <w:r>
        <w:t xml:space="preserve"> take distributions at least equal to</w:t>
      </w:r>
      <w:r w:rsidRPr="00EF6A67">
        <w:t xml:space="preserve"> the RMD amount are subject to a 50</w:t>
      </w:r>
      <w:r>
        <w:t>%</w:t>
      </w:r>
      <w:r w:rsidRPr="00EF6A67">
        <w:t xml:space="preserve"> penalty tax</w:t>
      </w:r>
      <w:r>
        <w:t xml:space="preserve"> on the insufficiency</w:t>
      </w:r>
      <w:r w:rsidRPr="00EF6A67">
        <w:t>.</w:t>
      </w:r>
    </w:p>
    <w:p w14:paraId="497B6711" w14:textId="77777777" w:rsidR="00A00376" w:rsidRDefault="00A00376" w:rsidP="00A00376">
      <w:pPr>
        <w:pStyle w:val="Heading2"/>
        <w:keepLines w:val="0"/>
      </w:pPr>
      <w:bookmarkStart w:id="12" w:name="_Toc194823811"/>
      <w:bookmarkStart w:id="13" w:name="_Toc216430673"/>
      <w:bookmarkStart w:id="14" w:name="_Toc225232879"/>
      <w:bookmarkStart w:id="15" w:name="_Toc404357136"/>
      <w:r>
        <w:t>Chapter Learning Objectives</w:t>
      </w:r>
      <w:bookmarkEnd w:id="12"/>
      <w:bookmarkEnd w:id="13"/>
      <w:bookmarkEnd w:id="14"/>
      <w:bookmarkEnd w:id="15"/>
    </w:p>
    <w:p w14:paraId="1E2DE5EC" w14:textId="77777777" w:rsidR="00A00376" w:rsidRDefault="00A00376" w:rsidP="00A00376">
      <w:r>
        <w:t xml:space="preserve">In this chapter we will look at the initial IRA rules and the principal changes to the program since its inception. </w:t>
      </w:r>
      <w:r w:rsidRPr="00702457">
        <w:t xml:space="preserve">When you have completed this </w:t>
      </w:r>
      <w:r>
        <w:t>chapter</w:t>
      </w:r>
      <w:r w:rsidRPr="00702457">
        <w:t xml:space="preserve"> you should be able to</w:t>
      </w:r>
      <w:r>
        <w:t>:</w:t>
      </w:r>
    </w:p>
    <w:p w14:paraId="61DA540B" w14:textId="77777777" w:rsidR="000133D2" w:rsidRDefault="00A00376" w:rsidP="007A5E54">
      <w:pPr>
        <w:pStyle w:val="ListParagraph"/>
        <w:numPr>
          <w:ilvl w:val="0"/>
          <w:numId w:val="145"/>
        </w:numPr>
      </w:pPr>
      <w:r>
        <w:t xml:space="preserve">Describe </w:t>
      </w:r>
      <w:r w:rsidR="000133D2">
        <w:t>the general provisions and limits applicable to IRAs at the time of their introduction;</w:t>
      </w:r>
    </w:p>
    <w:p w14:paraId="0FD70483" w14:textId="77777777" w:rsidR="000133D2" w:rsidRDefault="000133D2" w:rsidP="007A5E54">
      <w:pPr>
        <w:pStyle w:val="ListParagraph"/>
        <w:numPr>
          <w:ilvl w:val="0"/>
          <w:numId w:val="145"/>
        </w:numPr>
      </w:pPr>
      <w:r>
        <w:t>Identify the enhancements made to the early IRA program that currently permit:</w:t>
      </w:r>
    </w:p>
    <w:p w14:paraId="46D4D940" w14:textId="77777777" w:rsidR="000133D2" w:rsidRDefault="000133D2" w:rsidP="007A5E54">
      <w:pPr>
        <w:pStyle w:val="ListParagraph"/>
        <w:numPr>
          <w:ilvl w:val="1"/>
          <w:numId w:val="126"/>
        </w:numPr>
      </w:pPr>
      <w:r>
        <w:t>Spousal IRAs for unemployed spouses,</w:t>
      </w:r>
    </w:p>
    <w:p w14:paraId="6E9F46E9" w14:textId="77777777" w:rsidR="00A00376" w:rsidRDefault="000133D2" w:rsidP="007A5E54">
      <w:pPr>
        <w:pStyle w:val="ListParagraph"/>
        <w:numPr>
          <w:ilvl w:val="1"/>
          <w:numId w:val="126"/>
        </w:numPr>
      </w:pPr>
      <w:r>
        <w:t xml:space="preserve">Active participants in employer-sponsored qualified plans to participate in IRAs, </w:t>
      </w:r>
      <w:r w:rsidR="00A00376">
        <w:t xml:space="preserve"> </w:t>
      </w:r>
    </w:p>
    <w:p w14:paraId="6F70509A" w14:textId="77777777" w:rsidR="000133D2" w:rsidRDefault="000133D2" w:rsidP="007A5E54">
      <w:pPr>
        <w:pStyle w:val="ListParagraph"/>
        <w:numPr>
          <w:ilvl w:val="1"/>
          <w:numId w:val="126"/>
        </w:numPr>
      </w:pPr>
      <w:r>
        <w:t>Eligible individuals to participate in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t xml:space="preserve"> that offer tax-free qualified distributions, and</w:t>
      </w:r>
    </w:p>
    <w:p w14:paraId="42D11CCE" w14:textId="77777777" w:rsidR="000133D2" w:rsidRPr="00297ACB" w:rsidRDefault="000133D2" w:rsidP="007A5E54">
      <w:pPr>
        <w:pStyle w:val="ListParagraph"/>
        <w:numPr>
          <w:ilvl w:val="1"/>
          <w:numId w:val="126"/>
        </w:numPr>
      </w:pPr>
      <w:r>
        <w:t>Contributions to be made to 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r>
        <w:t>.</w:t>
      </w:r>
    </w:p>
    <w:p w14:paraId="6B4AE439" w14:textId="77777777" w:rsidR="00B6166A" w:rsidRPr="00352D2D" w:rsidRDefault="00B6166A" w:rsidP="00825E0B">
      <w:pPr>
        <w:pStyle w:val="Heading2"/>
      </w:pPr>
      <w:bookmarkStart w:id="16" w:name="_Toc48025250"/>
      <w:bookmarkStart w:id="17" w:name="_Toc404357137"/>
      <w:r w:rsidRPr="00352D2D">
        <w:t>Background, Definition &amp; Eligibility</w:t>
      </w:r>
      <w:bookmarkEnd w:id="16"/>
      <w:bookmarkEnd w:id="17"/>
    </w:p>
    <w:p w14:paraId="3322534C" w14:textId="77777777" w:rsidR="00434CE0" w:rsidRPr="000B485C" w:rsidRDefault="00434CE0" w:rsidP="00BE7E52">
      <w:r w:rsidRPr="000B485C">
        <w:t>ERISA</w:t>
      </w:r>
      <w:r w:rsidR="00A95039">
        <w:fldChar w:fldCharType="begin"/>
      </w:r>
      <w:r w:rsidR="00293611">
        <w:instrText xml:space="preserve"> XE "</w:instrText>
      </w:r>
      <w:r w:rsidR="00293611" w:rsidRPr="00CD56BD">
        <w:instrText>ERISA</w:instrText>
      </w:r>
      <w:r w:rsidR="00293611">
        <w:instrText xml:space="preserve">" </w:instrText>
      </w:r>
      <w:r w:rsidR="00A95039">
        <w:fldChar w:fldCharType="end"/>
      </w:r>
      <w:r w:rsidRPr="000B485C">
        <w:t xml:space="preserve">, the Employee Retirement Income Security Act, created an individual retirement account—usually referred to </w:t>
      </w:r>
      <w:r w:rsidR="006F41EE">
        <w:t>simply</w:t>
      </w:r>
      <w:r w:rsidR="000B485C">
        <w:t xml:space="preserve"> </w:t>
      </w:r>
      <w:r w:rsidRPr="000B485C">
        <w:t xml:space="preserve">as an IRA—to allow people who had no other employer-sponsored qualified plan to have certain tax support for a </w:t>
      </w:r>
      <w:r w:rsidRPr="00BE7E52">
        <w:t>retirement</w:t>
      </w:r>
      <w:r w:rsidRPr="000B485C">
        <w:t xml:space="preserve"> program.</w:t>
      </w:r>
      <w:r w:rsidR="00297ACB">
        <w:t xml:space="preserve"> </w:t>
      </w:r>
      <w:r w:rsidRPr="000B485C">
        <w:t xml:space="preserve">That was the initial legislative </w:t>
      </w:r>
      <w:r w:rsidR="00887A0A">
        <w:t xml:space="preserve">intent. </w:t>
      </w:r>
      <w:r w:rsidR="00297ACB">
        <w:t xml:space="preserve"> </w:t>
      </w:r>
      <w:r w:rsidRPr="000B485C">
        <w:t xml:space="preserve">In order to participate, you needed to be employed and not </w:t>
      </w:r>
      <w:r w:rsidR="00887A0A">
        <w:t xml:space="preserve">be </w:t>
      </w:r>
      <w:r w:rsidRPr="000B485C">
        <w:t>a part</w:t>
      </w:r>
      <w:r w:rsidR="00887A0A">
        <w:t>icipant</w:t>
      </w:r>
      <w:r w:rsidRPr="000B485C">
        <w:t xml:space="preserve"> </w:t>
      </w:r>
      <w:r w:rsidR="00887A0A">
        <w:t>in</w:t>
      </w:r>
      <w:r w:rsidRPr="000B485C">
        <w:t xml:space="preserve"> a pension, profit-sharing or other qualified plan.</w:t>
      </w:r>
    </w:p>
    <w:p w14:paraId="46E2565D" w14:textId="77777777" w:rsidR="00434CE0" w:rsidRPr="000B485C" w:rsidRDefault="003364F2" w:rsidP="00825E0B">
      <w:pPr>
        <w:rPr>
          <w:i/>
          <w:szCs w:val="22"/>
        </w:rPr>
      </w:pPr>
      <w:r>
        <w:rPr>
          <w:szCs w:val="22"/>
        </w:rPr>
        <w:t>T</w:t>
      </w:r>
      <w:r w:rsidR="00434CE0" w:rsidRPr="000B485C">
        <w:rPr>
          <w:szCs w:val="22"/>
        </w:rPr>
        <w:t>hese early ERIS</w:t>
      </w:r>
      <w:r>
        <w:rPr>
          <w:szCs w:val="22"/>
        </w:rPr>
        <w:t>A</w:t>
      </w:r>
      <w:r w:rsidR="00A95039">
        <w:rPr>
          <w:szCs w:val="22"/>
        </w:rPr>
        <w:fldChar w:fldCharType="begin"/>
      </w:r>
      <w:r w:rsidR="00293611">
        <w:instrText xml:space="preserve"> XE "</w:instrText>
      </w:r>
      <w:r w:rsidR="00293611" w:rsidRPr="00CD56BD">
        <w:instrText>ERISA</w:instrText>
      </w:r>
      <w:r w:rsidR="00293611">
        <w:instrText xml:space="preserve">" </w:instrText>
      </w:r>
      <w:r w:rsidR="00A95039">
        <w:rPr>
          <w:szCs w:val="22"/>
        </w:rPr>
        <w:fldChar w:fldCharType="end"/>
      </w:r>
      <w:r>
        <w:rPr>
          <w:szCs w:val="22"/>
        </w:rPr>
        <w:t xml:space="preserve"> </w:t>
      </w:r>
      <w:r w:rsidR="000927B1">
        <w:rPr>
          <w:szCs w:val="22"/>
        </w:rPr>
        <w:t xml:space="preserve">individual retirement account </w:t>
      </w:r>
      <w:r>
        <w:rPr>
          <w:szCs w:val="22"/>
        </w:rPr>
        <w:t>provisions have been extended</w:t>
      </w:r>
      <w:r w:rsidR="00080550">
        <w:rPr>
          <w:szCs w:val="22"/>
        </w:rPr>
        <w:t xml:space="preserve"> to provide for</w:t>
      </w:r>
      <w:r>
        <w:rPr>
          <w:szCs w:val="22"/>
        </w:rPr>
        <w:t>:</w:t>
      </w:r>
    </w:p>
    <w:p w14:paraId="7417F9C2" w14:textId="77777777" w:rsidR="00C06FCB" w:rsidRDefault="000050F1" w:rsidP="007A5E54">
      <w:pPr>
        <w:pStyle w:val="ListParagraph"/>
        <w:numPr>
          <w:ilvl w:val="0"/>
          <w:numId w:val="105"/>
        </w:numPr>
        <w:ind w:left="720"/>
      </w:pPr>
      <w:r w:rsidRPr="00BE7E52">
        <w:t>Unemployed spouses</w:t>
      </w:r>
      <w:r w:rsidR="00A95039">
        <w:fldChar w:fldCharType="begin"/>
      </w:r>
      <w:r w:rsidR="00293611">
        <w:instrText xml:space="preserve"> XE "</w:instrText>
      </w:r>
      <w:r w:rsidR="00293611" w:rsidRPr="00CD56BD">
        <w:instrText>Unemployed spouses</w:instrText>
      </w:r>
      <w:r w:rsidR="00293611">
        <w:instrText xml:space="preserve">" </w:instrText>
      </w:r>
      <w:r w:rsidR="00A95039">
        <w:fldChar w:fldCharType="end"/>
      </w:r>
    </w:p>
    <w:p w14:paraId="56D58EB9" w14:textId="77777777" w:rsidR="00C06FCB" w:rsidRDefault="000050F1" w:rsidP="007A5E54">
      <w:pPr>
        <w:pStyle w:val="ListParagraph"/>
        <w:numPr>
          <w:ilvl w:val="0"/>
          <w:numId w:val="105"/>
        </w:numPr>
        <w:ind w:left="720"/>
      </w:pPr>
      <w:r w:rsidRPr="00BE7E52">
        <w:t>Qualified plan participants</w:t>
      </w:r>
      <w:r w:rsidR="00A95039">
        <w:fldChar w:fldCharType="begin"/>
      </w:r>
      <w:r w:rsidR="00293611">
        <w:instrText xml:space="preserve"> XE "</w:instrText>
      </w:r>
      <w:r w:rsidR="00293611" w:rsidRPr="00CD56BD">
        <w:instrText>Qualified plan participants</w:instrText>
      </w:r>
      <w:r w:rsidR="00293611">
        <w:instrText xml:space="preserve">" </w:instrText>
      </w:r>
      <w:r w:rsidR="00A95039">
        <w:fldChar w:fldCharType="end"/>
      </w:r>
    </w:p>
    <w:p w14:paraId="59D123CD" w14:textId="77777777" w:rsidR="00C06FCB" w:rsidRDefault="000050F1" w:rsidP="007A5E54">
      <w:pPr>
        <w:pStyle w:val="ListParagraph"/>
        <w:numPr>
          <w:ilvl w:val="0"/>
          <w:numId w:val="105"/>
        </w:numPr>
        <w:ind w:left="720"/>
      </w:pPr>
      <w:r w:rsidRPr="00BE7E52">
        <w:t>Non-deductible contributions</w:t>
      </w:r>
      <w:r w:rsidR="00A95039">
        <w:fldChar w:fldCharType="begin"/>
      </w:r>
      <w:r w:rsidR="00500F1D">
        <w:instrText xml:space="preserve"> XE "</w:instrText>
      </w:r>
      <w:r w:rsidR="00500F1D" w:rsidRPr="00827A5A">
        <w:rPr>
          <w:szCs w:val="22"/>
        </w:rPr>
        <w:instrText>Non-deductible IRA contributions</w:instrText>
      </w:r>
      <w:r w:rsidR="00500F1D">
        <w:instrText xml:space="preserve">" </w:instrText>
      </w:r>
      <w:r w:rsidR="00A95039">
        <w:fldChar w:fldCharType="end"/>
      </w:r>
      <w:r w:rsidRPr="00BE7E52">
        <w:t xml:space="preserve"> to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p>
    <w:p w14:paraId="47574C15" w14:textId="77777777" w:rsidR="00C06FCB" w:rsidRDefault="000050F1" w:rsidP="007A5E54">
      <w:pPr>
        <w:pStyle w:val="ListParagraph"/>
        <w:numPr>
          <w:ilvl w:val="0"/>
          <w:numId w:val="105"/>
        </w:numPr>
        <w:ind w:left="720"/>
      </w:pPr>
      <w:r w:rsidRPr="00BE7E52">
        <w:t>Education IRAs, now called 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p>
    <w:p w14:paraId="7B0EAEF2" w14:textId="77777777" w:rsidR="00F21491" w:rsidRDefault="00080550" w:rsidP="00BE7E52">
      <w:r>
        <w:t>Early expansion</w:t>
      </w:r>
      <w:r w:rsidR="00434CE0" w:rsidRPr="000B485C">
        <w:t xml:space="preserve"> of the IRA provisions added a spousal IRA</w:t>
      </w:r>
      <w:r w:rsidR="00A95039">
        <w:fldChar w:fldCharType="begin"/>
      </w:r>
      <w:r w:rsidR="00293611">
        <w:instrText xml:space="preserve"> XE "</w:instrText>
      </w:r>
      <w:r w:rsidR="00293611" w:rsidRPr="00CD56BD">
        <w:instrText>spousal IRA</w:instrText>
      </w:r>
      <w:r w:rsidR="00293611">
        <w:instrText xml:space="preserve">" </w:instrText>
      </w:r>
      <w:r w:rsidR="00A95039">
        <w:fldChar w:fldCharType="end"/>
      </w:r>
      <w:r>
        <w:t xml:space="preserve"> that is</w:t>
      </w:r>
      <w:r w:rsidR="00434CE0" w:rsidRPr="000B485C">
        <w:t xml:space="preserve"> designed to provide retirement assista</w:t>
      </w:r>
      <w:r>
        <w:t>nce to uncompensated homemakers.</w:t>
      </w:r>
      <w:r w:rsidR="00297ACB">
        <w:t xml:space="preserve"> </w:t>
      </w:r>
      <w:r>
        <w:t xml:space="preserve">It was </w:t>
      </w:r>
      <w:r w:rsidR="00434CE0" w:rsidRPr="000B485C">
        <w:t xml:space="preserve">also </w:t>
      </w:r>
      <w:r>
        <w:t xml:space="preserve">expanded to </w:t>
      </w:r>
      <w:r w:rsidR="00434CE0" w:rsidRPr="000B485C">
        <w:t>allow employees who were covered under a pension or profit-sharing plan to contribute to an IRA.</w:t>
      </w:r>
      <w:r w:rsidR="00297ACB">
        <w:t xml:space="preserve"> </w:t>
      </w:r>
      <w:r w:rsidR="00434CE0" w:rsidRPr="000B485C">
        <w:t xml:space="preserve">In fact, </w:t>
      </w:r>
      <w:r w:rsidR="00F21491">
        <w:t xml:space="preserve">when initially </w:t>
      </w:r>
      <w:r w:rsidR="00F21491">
        <w:lastRenderedPageBreak/>
        <w:t>amended, ERISA</w:t>
      </w:r>
      <w:r w:rsidR="00A95039">
        <w:fldChar w:fldCharType="begin"/>
      </w:r>
      <w:r w:rsidR="00293611">
        <w:instrText xml:space="preserve"> XE "</w:instrText>
      </w:r>
      <w:r w:rsidR="00293611" w:rsidRPr="00CD56BD">
        <w:instrText>ERISA</w:instrText>
      </w:r>
      <w:r w:rsidR="00293611">
        <w:instrText xml:space="preserve">" </w:instrText>
      </w:r>
      <w:r w:rsidR="00A95039">
        <w:fldChar w:fldCharType="end"/>
      </w:r>
      <w:r w:rsidR="00F21491">
        <w:t xml:space="preserve"> </w:t>
      </w:r>
      <w:r w:rsidR="00A73842">
        <w:t xml:space="preserve">also </w:t>
      </w:r>
      <w:r w:rsidR="00F21491">
        <w:t xml:space="preserve">provided </w:t>
      </w:r>
      <w:r w:rsidR="00434CE0" w:rsidRPr="000B485C">
        <w:t xml:space="preserve">qualified plan participants </w:t>
      </w:r>
      <w:r w:rsidR="00F21491">
        <w:t>with</w:t>
      </w:r>
      <w:r w:rsidR="00434CE0" w:rsidRPr="000B485C">
        <w:t xml:space="preserve"> an unlimited tax deduction</w:t>
      </w:r>
      <w:r w:rsidR="00A95039">
        <w:fldChar w:fldCharType="begin"/>
      </w:r>
      <w:r w:rsidR="00293611">
        <w:instrText xml:space="preserve"> XE "</w:instrText>
      </w:r>
      <w:r w:rsidR="00293611" w:rsidRPr="00CD56BD">
        <w:rPr>
          <w:szCs w:val="22"/>
        </w:rPr>
        <w:instrText>tax deduction</w:instrText>
      </w:r>
      <w:r w:rsidR="00293611">
        <w:instrText xml:space="preserve">" </w:instrText>
      </w:r>
      <w:r w:rsidR="00A95039">
        <w:fldChar w:fldCharType="end"/>
      </w:r>
      <w:r w:rsidR="00434CE0" w:rsidRPr="000B485C">
        <w:t xml:space="preserve"> for their </w:t>
      </w:r>
      <w:r w:rsidR="00887A0A">
        <w:t xml:space="preserve">IRA </w:t>
      </w:r>
      <w:r w:rsidR="00434CE0" w:rsidRPr="000B485C">
        <w:t>contributions.</w:t>
      </w:r>
    </w:p>
    <w:p w14:paraId="7D5A7AA3" w14:textId="77777777" w:rsidR="00434CE0" w:rsidRPr="000B485C" w:rsidRDefault="00080550" w:rsidP="00825E0B">
      <w:pPr>
        <w:rPr>
          <w:szCs w:val="22"/>
        </w:rPr>
      </w:pPr>
      <w:r>
        <w:rPr>
          <w:szCs w:val="22"/>
        </w:rPr>
        <w:t>Since that earlier ERISA</w:t>
      </w:r>
      <w:r w:rsidR="00A95039">
        <w:rPr>
          <w:szCs w:val="22"/>
        </w:rPr>
        <w:fldChar w:fldCharType="begin"/>
      </w:r>
      <w:r w:rsidR="00293611">
        <w:instrText xml:space="preserve"> XE "</w:instrText>
      </w:r>
      <w:r w:rsidR="00293611" w:rsidRPr="00CD56BD">
        <w:instrText>ERISA</w:instrText>
      </w:r>
      <w:r w:rsidR="00293611">
        <w:instrText xml:space="preserve">" </w:instrText>
      </w:r>
      <w:r w:rsidR="00A95039">
        <w:rPr>
          <w:szCs w:val="22"/>
        </w:rPr>
        <w:fldChar w:fldCharType="end"/>
      </w:r>
      <w:r>
        <w:rPr>
          <w:szCs w:val="22"/>
        </w:rPr>
        <w:t xml:space="preserve"> expansion related to IRAs,</w:t>
      </w:r>
      <w:r w:rsidR="00F21491">
        <w:rPr>
          <w:szCs w:val="22"/>
        </w:rPr>
        <w:t xml:space="preserve"> new IRAs have been added.</w:t>
      </w:r>
      <w:r w:rsidR="00297ACB">
        <w:rPr>
          <w:szCs w:val="22"/>
        </w:rPr>
        <w:t xml:space="preserve"> </w:t>
      </w:r>
      <w:r w:rsidR="00F21491">
        <w:rPr>
          <w:szCs w:val="22"/>
        </w:rPr>
        <w:t>These newer IRAs are</w:t>
      </w:r>
      <w:r w:rsidR="00434CE0" w:rsidRPr="000B485C">
        <w:rPr>
          <w:szCs w:val="22"/>
        </w:rPr>
        <w:t xml:space="preserve"> </w:t>
      </w:r>
      <w:r w:rsidR="00F21491">
        <w:rPr>
          <w:szCs w:val="22"/>
        </w:rPr>
        <w:t>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F21491">
        <w:rPr>
          <w:szCs w:val="22"/>
        </w:rPr>
        <w:t xml:space="preserve"> and Education IRAs, </w:t>
      </w:r>
      <w:r w:rsidR="00827A5A">
        <w:rPr>
          <w:szCs w:val="22"/>
        </w:rPr>
        <w:t xml:space="preserve">subsequently </w:t>
      </w:r>
      <w:r w:rsidR="00F21491">
        <w:rPr>
          <w:szCs w:val="22"/>
        </w:rPr>
        <w:t>re-named Coverdell Education Savings Account</w:t>
      </w:r>
      <w:r w:rsidR="008F10CC">
        <w:rPr>
          <w:szCs w:val="22"/>
        </w:rPr>
        <w:t>s</w:t>
      </w:r>
      <w:r w:rsidR="00A95039">
        <w:rPr>
          <w:szCs w:val="22"/>
        </w:rPr>
        <w:fldChar w:fldCharType="begin"/>
      </w:r>
      <w:r w:rsidR="00293611">
        <w:instrText xml:space="preserve"> XE "</w:instrText>
      </w:r>
      <w:r w:rsidR="00293611" w:rsidRPr="00CD56BD">
        <w:instrText>Coverdell Education Savings Accounts</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F21491">
        <w:rPr>
          <w:szCs w:val="22"/>
        </w:rPr>
        <w:t>In order to differentiate the newer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F21491">
        <w:rPr>
          <w:szCs w:val="22"/>
        </w:rPr>
        <w:t xml:space="preserve"> from its earlier cousin, the original IRA </w:t>
      </w:r>
      <w:r w:rsidR="00434CE0" w:rsidRPr="000B485C">
        <w:rPr>
          <w:szCs w:val="22"/>
        </w:rPr>
        <w:t xml:space="preserve">is now </w:t>
      </w:r>
      <w:r w:rsidR="00F21491">
        <w:rPr>
          <w:szCs w:val="22"/>
        </w:rPr>
        <w:t>referred to as</w:t>
      </w:r>
      <w:r w:rsidR="00434CE0" w:rsidRPr="000B485C">
        <w:rPr>
          <w:szCs w:val="22"/>
        </w:rPr>
        <w:t xml:space="preserve"> a </w:t>
      </w:r>
      <w:r w:rsidR="00297ACB">
        <w:rPr>
          <w:szCs w:val="22"/>
        </w:rPr>
        <w:t>“</w:t>
      </w:r>
      <w:r w:rsidR="00434CE0" w:rsidRPr="000B485C">
        <w:rPr>
          <w:szCs w:val="22"/>
        </w:rPr>
        <w:t>traditional</w:t>
      </w:r>
      <w:r w:rsidR="00297ACB">
        <w:rPr>
          <w:szCs w:val="22"/>
        </w:rPr>
        <w:t>”</w:t>
      </w:r>
      <w:r w:rsidR="00434CE0" w:rsidRPr="000B485C">
        <w:rPr>
          <w:szCs w:val="22"/>
        </w:rPr>
        <w:t xml:space="preserve"> IRA.</w:t>
      </w:r>
    </w:p>
    <w:p w14:paraId="131FC1D1" w14:textId="77777777" w:rsidR="00434CE0" w:rsidRPr="000B485C" w:rsidRDefault="00F21491" w:rsidP="00825E0B">
      <w:pPr>
        <w:rPr>
          <w:szCs w:val="22"/>
        </w:rPr>
      </w:pPr>
      <w:r>
        <w:rPr>
          <w:szCs w:val="22"/>
        </w:rPr>
        <w:t>L</w:t>
      </w:r>
      <w:r w:rsidR="00434CE0" w:rsidRPr="000B485C">
        <w:rPr>
          <w:szCs w:val="22"/>
        </w:rPr>
        <w:t>et’s begin our IRA discussion with an examination of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rules.</w:t>
      </w:r>
    </w:p>
    <w:p w14:paraId="445B397B" w14:textId="77777777" w:rsidR="0017018D" w:rsidRDefault="0017018D" w:rsidP="0017018D">
      <w:pPr>
        <w:pStyle w:val="Heading2"/>
      </w:pPr>
      <w:bookmarkStart w:id="18" w:name="_Toc404357138"/>
      <w:r>
        <w:t>Traditional IRA Rules</w:t>
      </w:r>
      <w:bookmarkEnd w:id="18"/>
    </w:p>
    <w:p w14:paraId="7AB8F341" w14:textId="77777777" w:rsidR="00434CE0" w:rsidRPr="000B485C" w:rsidRDefault="00434CE0" w:rsidP="00825E0B">
      <w:pPr>
        <w:rPr>
          <w:szCs w:val="22"/>
        </w:rPr>
      </w:pPr>
      <w:r w:rsidRPr="000B485C">
        <w:rPr>
          <w:szCs w:val="22"/>
        </w:rPr>
        <w:t>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is a personal retirement savings plan, funded by an annuity or a trust </w:t>
      </w:r>
      <w:r w:rsidR="00F21491">
        <w:rPr>
          <w:szCs w:val="22"/>
        </w:rPr>
        <w:t>that</w:t>
      </w:r>
      <w:r w:rsidRPr="000B485C">
        <w:rPr>
          <w:szCs w:val="22"/>
        </w:rPr>
        <w:t xml:space="preserve"> meets certain requirements</w:t>
      </w:r>
      <w:r w:rsidR="00A73842">
        <w:rPr>
          <w:szCs w:val="22"/>
        </w:rPr>
        <w:t xml:space="preserve"> and </w:t>
      </w:r>
      <w:r w:rsidR="0017018D">
        <w:rPr>
          <w:szCs w:val="22"/>
        </w:rPr>
        <w:t xml:space="preserve">which </w:t>
      </w:r>
      <w:r w:rsidR="00A73842">
        <w:rPr>
          <w:szCs w:val="22"/>
        </w:rPr>
        <w:t>may permit tax-deductible contributions and tax-deferral of earnings</w:t>
      </w:r>
      <w:r w:rsidRPr="000B485C">
        <w:rPr>
          <w:szCs w:val="22"/>
        </w:rPr>
        <w:t>.</w:t>
      </w:r>
      <w:r w:rsidR="00297ACB">
        <w:rPr>
          <w:szCs w:val="22"/>
        </w:rPr>
        <w:t xml:space="preserve"> </w:t>
      </w:r>
      <w:r w:rsidRPr="000B485C">
        <w:rPr>
          <w:szCs w:val="22"/>
        </w:rPr>
        <w:t xml:space="preserve">To be eligible to contribute to a traditional </w:t>
      </w:r>
      <w:r w:rsidR="00F21491">
        <w:rPr>
          <w:szCs w:val="22"/>
        </w:rPr>
        <w:t xml:space="preserve">non-spousal </w:t>
      </w:r>
      <w:r w:rsidRPr="000B485C">
        <w:rPr>
          <w:szCs w:val="22"/>
        </w:rPr>
        <w:t>IRA</w:t>
      </w:r>
      <w:r w:rsidR="00A95039">
        <w:rPr>
          <w:szCs w:val="22"/>
        </w:rPr>
        <w:fldChar w:fldCharType="begin"/>
      </w:r>
      <w:r w:rsidR="00293611">
        <w:instrText xml:space="preserve"> XE "</w:instrText>
      </w:r>
      <w:r w:rsidR="00293611" w:rsidRPr="00CD56BD">
        <w:rPr>
          <w:szCs w:val="22"/>
        </w:rPr>
        <w:instrText>spousal IRA</w:instrText>
      </w:r>
      <w:r w:rsidR="00293611">
        <w:instrText xml:space="preserve">" </w:instrText>
      </w:r>
      <w:r w:rsidR="00A95039">
        <w:rPr>
          <w:szCs w:val="22"/>
        </w:rPr>
        <w:fldChar w:fldCharType="end"/>
      </w:r>
      <w:r w:rsidRPr="000B485C">
        <w:rPr>
          <w:szCs w:val="22"/>
        </w:rPr>
        <w:t xml:space="preserve">, an individual must </w:t>
      </w:r>
      <w:r w:rsidR="00F21491">
        <w:rPr>
          <w:szCs w:val="22"/>
        </w:rPr>
        <w:t>meet two conditions:</w:t>
      </w:r>
    </w:p>
    <w:p w14:paraId="24590112" w14:textId="77777777" w:rsidR="00C06FCB" w:rsidRDefault="00F21491" w:rsidP="007A5E54">
      <w:pPr>
        <w:pStyle w:val="ListParagraph"/>
        <w:numPr>
          <w:ilvl w:val="0"/>
          <w:numId w:val="106"/>
        </w:numPr>
        <w:ind w:left="720"/>
        <w:rPr>
          <w:szCs w:val="22"/>
        </w:rPr>
      </w:pPr>
      <w:r w:rsidRPr="00827A5A">
        <w:rPr>
          <w:szCs w:val="22"/>
        </w:rPr>
        <w:t>H</w:t>
      </w:r>
      <w:r w:rsidR="00434CE0" w:rsidRPr="00827A5A">
        <w:rPr>
          <w:szCs w:val="22"/>
        </w:rPr>
        <w:t>ave earned income</w:t>
      </w:r>
      <w:r w:rsidR="00A95039" w:rsidRPr="00827A5A">
        <w:rPr>
          <w:szCs w:val="22"/>
        </w:rPr>
        <w:fldChar w:fldCharType="begin"/>
      </w:r>
      <w:r w:rsidR="00293611">
        <w:instrText xml:space="preserve"> XE "</w:instrText>
      </w:r>
      <w:r w:rsidR="00293611" w:rsidRPr="00827A5A">
        <w:rPr>
          <w:szCs w:val="22"/>
        </w:rPr>
        <w:instrText>earned income</w:instrText>
      </w:r>
      <w:r w:rsidR="00293611">
        <w:instrText xml:space="preserve">" </w:instrText>
      </w:r>
      <w:r w:rsidR="00A95039" w:rsidRPr="00827A5A">
        <w:rPr>
          <w:szCs w:val="22"/>
        </w:rPr>
        <w:fldChar w:fldCharType="end"/>
      </w:r>
      <w:r w:rsidR="00BE7E52" w:rsidRPr="00827A5A">
        <w:rPr>
          <w:szCs w:val="22"/>
        </w:rPr>
        <w:t xml:space="preserve">, </w:t>
      </w:r>
      <w:r w:rsidR="00434CE0" w:rsidRPr="00827A5A">
        <w:rPr>
          <w:szCs w:val="22"/>
        </w:rPr>
        <w:t>and</w:t>
      </w:r>
    </w:p>
    <w:p w14:paraId="058ADE25" w14:textId="77777777" w:rsidR="00C06FCB" w:rsidRDefault="00F21491" w:rsidP="007A5E54">
      <w:pPr>
        <w:pStyle w:val="ListParagraph"/>
        <w:numPr>
          <w:ilvl w:val="0"/>
          <w:numId w:val="106"/>
        </w:numPr>
        <w:ind w:left="720"/>
        <w:rPr>
          <w:szCs w:val="22"/>
        </w:rPr>
      </w:pPr>
      <w:r w:rsidRPr="00827A5A">
        <w:rPr>
          <w:szCs w:val="22"/>
        </w:rPr>
        <w:t>Not yet have attained</w:t>
      </w:r>
      <w:r w:rsidR="00434CE0" w:rsidRPr="00827A5A">
        <w:rPr>
          <w:szCs w:val="22"/>
        </w:rPr>
        <w:t xml:space="preserve"> age 70 1/2.</w:t>
      </w:r>
    </w:p>
    <w:p w14:paraId="3B78D34F" w14:textId="77777777" w:rsidR="00434CE0" w:rsidRPr="000B485C" w:rsidRDefault="00F21491" w:rsidP="00825E0B">
      <w:pPr>
        <w:rPr>
          <w:szCs w:val="22"/>
        </w:rPr>
      </w:pPr>
      <w:r>
        <w:rPr>
          <w:szCs w:val="22"/>
        </w:rPr>
        <w:t>We will see, shortly, that the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Pr>
          <w:szCs w:val="22"/>
        </w:rPr>
        <w:t xml:space="preserve"> requirement does not apply to spousal IRAs.</w:t>
      </w:r>
    </w:p>
    <w:p w14:paraId="254F5B70" w14:textId="77777777" w:rsidR="00434CE0" w:rsidRPr="000B485C" w:rsidRDefault="0064758E" w:rsidP="00825E0B">
      <w:pPr>
        <w:rPr>
          <w:szCs w:val="22"/>
        </w:rPr>
      </w:pPr>
      <w:r>
        <w:rPr>
          <w:szCs w:val="22"/>
        </w:rPr>
        <w:t>A</w:t>
      </w:r>
      <w:r w:rsidR="00434CE0" w:rsidRPr="000B485C">
        <w:rPr>
          <w:szCs w:val="22"/>
        </w:rPr>
        <w:t xml:space="preserve"> distinction </w:t>
      </w:r>
      <w:r>
        <w:rPr>
          <w:szCs w:val="22"/>
        </w:rPr>
        <w:t xml:space="preserve">needs to be made </w:t>
      </w:r>
      <w:r w:rsidR="00434CE0" w:rsidRPr="000B485C">
        <w:rPr>
          <w:szCs w:val="22"/>
        </w:rPr>
        <w:t xml:space="preserve">between an individual’s eligibility to contribute </w:t>
      </w:r>
      <w:r>
        <w:rPr>
          <w:szCs w:val="22"/>
        </w:rPr>
        <w:t>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w:t>
      </w:r>
      <w:r w:rsidRPr="000B485C">
        <w:rPr>
          <w:szCs w:val="22"/>
        </w:rPr>
        <w:t xml:space="preserve">and </w:t>
      </w:r>
      <w:r>
        <w:rPr>
          <w:szCs w:val="22"/>
        </w:rPr>
        <w:t xml:space="preserve">his or her </w:t>
      </w:r>
      <w:r w:rsidR="00434CE0" w:rsidRPr="000B485C">
        <w:rPr>
          <w:szCs w:val="22"/>
        </w:rPr>
        <w:t xml:space="preserve">eligibility to </w:t>
      </w:r>
      <w:r>
        <w:rPr>
          <w:szCs w:val="22"/>
        </w:rPr>
        <w:t xml:space="preserve">take a </w:t>
      </w:r>
      <w:r w:rsidR="00434CE0" w:rsidRPr="000B485C">
        <w:rPr>
          <w:szCs w:val="22"/>
        </w:rPr>
        <w:t>tax</w:t>
      </w:r>
      <w:r>
        <w:rPr>
          <w:szCs w:val="22"/>
        </w:rPr>
        <w:t xml:space="preserve"> </w:t>
      </w:r>
      <w:r w:rsidR="00434CE0" w:rsidRPr="000B485C">
        <w:rPr>
          <w:szCs w:val="22"/>
        </w:rPr>
        <w:t>deduct</w:t>
      </w:r>
      <w:r>
        <w:rPr>
          <w:szCs w:val="22"/>
        </w:rPr>
        <w: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Pr>
          <w:szCs w:val="22"/>
        </w:rPr>
        <w:t xml:space="preserve"> for</w:t>
      </w:r>
      <w:r w:rsidR="00434CE0" w:rsidRPr="000B485C">
        <w:rPr>
          <w:szCs w:val="22"/>
        </w:rPr>
        <w:t xml:space="preserve"> that contribution.</w:t>
      </w:r>
      <w:r w:rsidR="00297ACB">
        <w:rPr>
          <w:szCs w:val="22"/>
        </w:rPr>
        <w:t xml:space="preserve"> </w:t>
      </w:r>
      <w:r>
        <w:rPr>
          <w:szCs w:val="22"/>
        </w:rPr>
        <w:t>We will see that the individual’s ability to contribute to a traditional IRA is much broader than the ability to tax-deduct the contribution.</w:t>
      </w:r>
      <w:r w:rsidR="00887A0A" w:rsidRPr="00887A0A">
        <w:t xml:space="preserve"> </w:t>
      </w:r>
      <w:r w:rsidR="00887A0A">
        <w:t>In other words, an individual may be eligible to make a traditional IRA contribution but, in certain cases, may not be permitted to take a deduction for that IRA contribution.</w:t>
      </w:r>
    </w:p>
    <w:p w14:paraId="70739414" w14:textId="77777777" w:rsidR="00434CE0" w:rsidRPr="000B485C" w:rsidRDefault="0064758E" w:rsidP="00825E0B">
      <w:pPr>
        <w:rPr>
          <w:szCs w:val="22"/>
        </w:rPr>
      </w:pPr>
      <w:r>
        <w:rPr>
          <w:szCs w:val="22"/>
        </w:rPr>
        <w:t>The requirement that the individual making a contribution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not have attained</w:t>
      </w:r>
      <w:r w:rsidR="00434CE0" w:rsidRPr="000B485C">
        <w:rPr>
          <w:szCs w:val="22"/>
        </w:rPr>
        <w:t xml:space="preserve"> age 70</w:t>
      </w:r>
      <w:r>
        <w:rPr>
          <w:szCs w:val="22"/>
        </w:rPr>
        <w:t>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 xml:space="preserve"> is</w:t>
      </w:r>
      <w:r w:rsidR="00434CE0" w:rsidRPr="000B485C">
        <w:rPr>
          <w:szCs w:val="22"/>
        </w:rPr>
        <w:t xml:space="preserve"> important</w:t>
      </w:r>
      <w:r>
        <w:rPr>
          <w:szCs w:val="22"/>
        </w:rPr>
        <w:t xml:space="preserve"> because 70½ is</w:t>
      </w:r>
      <w:r w:rsidR="00434CE0" w:rsidRPr="000B485C">
        <w:rPr>
          <w:szCs w:val="22"/>
        </w:rPr>
        <w:t xml:space="preserve"> the age at which required </w:t>
      </w:r>
      <w:r w:rsidR="00293611">
        <w:rPr>
          <w:szCs w:val="22"/>
        </w:rPr>
        <w:t xml:space="preserve">minimum </w:t>
      </w:r>
      <w:r w:rsidR="00434CE0" w:rsidRPr="000B485C">
        <w:rPr>
          <w:szCs w:val="22"/>
        </w:rPr>
        <w:t>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sidR="00434CE0" w:rsidRPr="000B485C">
        <w:rPr>
          <w:szCs w:val="22"/>
        </w:rPr>
        <w:t xml:space="preserve"> from m</w:t>
      </w:r>
      <w:r w:rsidR="00A73842">
        <w:rPr>
          <w:szCs w:val="22"/>
        </w:rPr>
        <w:t>any</w:t>
      </w:r>
      <w:r w:rsidR="00434CE0" w:rsidRPr="000B485C">
        <w:rPr>
          <w:szCs w:val="22"/>
        </w:rPr>
        <w:t xml:space="preserve"> tax-favored plans must </w:t>
      </w:r>
      <w:r w:rsidR="00A73842">
        <w:rPr>
          <w:szCs w:val="22"/>
        </w:rPr>
        <w:t xml:space="preserve">generally </w:t>
      </w:r>
      <w:r w:rsidR="00434CE0" w:rsidRPr="000B485C">
        <w:rPr>
          <w:szCs w:val="22"/>
        </w:rPr>
        <w:t>begin.</w:t>
      </w:r>
      <w:r w:rsidR="00297ACB">
        <w:rPr>
          <w:szCs w:val="22"/>
        </w:rPr>
        <w:t xml:space="preserve"> </w:t>
      </w:r>
      <w:r>
        <w:rPr>
          <w:szCs w:val="22"/>
        </w:rPr>
        <w:t>Specifically, the federal</w:t>
      </w:r>
      <w:r w:rsidR="00434CE0" w:rsidRPr="000B485C">
        <w:rPr>
          <w:szCs w:val="22"/>
        </w:rPr>
        <w:t xml:space="preserve"> government requires that individuals who have accumulated funds in tax-qualified plans on which no income tax has been paid must begin to receive those funds </w:t>
      </w:r>
      <w:r>
        <w:rPr>
          <w:szCs w:val="22"/>
        </w:rPr>
        <w:t xml:space="preserve">at some point </w:t>
      </w:r>
      <w:r w:rsidR="00434CE0" w:rsidRPr="000B485C">
        <w:rPr>
          <w:szCs w:val="22"/>
        </w:rPr>
        <w:t>and pay income taxes as they are received.</w:t>
      </w:r>
      <w:r w:rsidR="00297ACB">
        <w:rPr>
          <w:szCs w:val="22"/>
        </w:rPr>
        <w:t xml:space="preserve"> </w:t>
      </w:r>
      <w:r>
        <w:rPr>
          <w:szCs w:val="22"/>
        </w:rPr>
        <w:t>For traditional IRAs, that point is reached when the individual attains age 70½.</w:t>
      </w:r>
    </w:p>
    <w:p w14:paraId="1D04AC8B" w14:textId="77777777" w:rsidR="00DF4804" w:rsidRDefault="00DF4804" w:rsidP="00DF4804">
      <w:pPr>
        <w:pStyle w:val="Heading3"/>
      </w:pPr>
      <w:bookmarkStart w:id="19" w:name="_Toc404357139"/>
      <w:r>
        <w:t>Earned Income</w:t>
      </w:r>
      <w:bookmarkEnd w:id="19"/>
    </w:p>
    <w:p w14:paraId="575C0BEA" w14:textId="77777777" w:rsidR="00434CE0" w:rsidRDefault="0064758E" w:rsidP="00825E0B">
      <w:pPr>
        <w:rPr>
          <w:szCs w:val="22"/>
        </w:rPr>
      </w:pPr>
      <w:r>
        <w:rPr>
          <w:szCs w:val="22"/>
        </w:rPr>
        <w:t>We noted that one of the criteria for the eligibility to co</w:t>
      </w:r>
      <w:r w:rsidR="00B75CAB">
        <w:rPr>
          <w:szCs w:val="22"/>
        </w:rPr>
        <w:t>ntribute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B75CAB">
        <w:rPr>
          <w:szCs w:val="22"/>
        </w:rPr>
        <w:t xml:space="preserve"> i</w:t>
      </w:r>
      <w:r>
        <w:rPr>
          <w:szCs w:val="22"/>
        </w:rPr>
        <w:t>s that the individual have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Pr>
          <w:szCs w:val="22"/>
        </w:rPr>
        <w:t>.</w:t>
      </w:r>
      <w:r w:rsidR="00297ACB">
        <w:rPr>
          <w:szCs w:val="22"/>
        </w:rPr>
        <w:t xml:space="preserve"> </w:t>
      </w:r>
      <w:r>
        <w:rPr>
          <w:szCs w:val="22"/>
        </w:rPr>
        <w:t>T</w:t>
      </w:r>
      <w:r w:rsidR="00434CE0" w:rsidRPr="000B485C">
        <w:rPr>
          <w:szCs w:val="22"/>
        </w:rPr>
        <w:t>he IRA legislation defines earned income</w:t>
      </w:r>
      <w:r>
        <w:rPr>
          <w:szCs w:val="22"/>
        </w:rPr>
        <w:t xml:space="preserve"> as:</w:t>
      </w:r>
    </w:p>
    <w:p w14:paraId="0141EB6D" w14:textId="77777777" w:rsidR="00C06FCB" w:rsidRDefault="0098353B" w:rsidP="007A5E54">
      <w:pPr>
        <w:pStyle w:val="ListParagraph"/>
        <w:numPr>
          <w:ilvl w:val="0"/>
          <w:numId w:val="107"/>
        </w:numPr>
        <w:ind w:left="720"/>
      </w:pPr>
      <w:r w:rsidRPr="0098353B">
        <w:t>Salary</w:t>
      </w:r>
    </w:p>
    <w:p w14:paraId="58F158C9" w14:textId="77777777" w:rsidR="00C06FCB" w:rsidRDefault="0098353B" w:rsidP="007A5E54">
      <w:pPr>
        <w:pStyle w:val="ListParagraph"/>
        <w:numPr>
          <w:ilvl w:val="0"/>
          <w:numId w:val="107"/>
        </w:numPr>
        <w:ind w:left="720"/>
      </w:pPr>
      <w:r w:rsidRPr="0098353B">
        <w:t>Fees</w:t>
      </w:r>
    </w:p>
    <w:p w14:paraId="3DE80CF5" w14:textId="77777777" w:rsidR="00C06FCB" w:rsidRDefault="0098353B" w:rsidP="007A5E54">
      <w:pPr>
        <w:pStyle w:val="ListParagraph"/>
        <w:numPr>
          <w:ilvl w:val="0"/>
          <w:numId w:val="107"/>
        </w:numPr>
        <w:ind w:left="720"/>
      </w:pPr>
      <w:r w:rsidRPr="0098353B">
        <w:t>Tips</w:t>
      </w:r>
    </w:p>
    <w:p w14:paraId="0A45F490" w14:textId="77777777" w:rsidR="00C06FCB" w:rsidRDefault="0098353B" w:rsidP="007A5E54">
      <w:pPr>
        <w:pStyle w:val="ListParagraph"/>
        <w:numPr>
          <w:ilvl w:val="0"/>
          <w:numId w:val="107"/>
        </w:numPr>
        <w:ind w:left="720"/>
      </w:pPr>
      <w:r w:rsidRPr="0098353B">
        <w:t>Bonus</w:t>
      </w:r>
    </w:p>
    <w:p w14:paraId="38C3FED2" w14:textId="77777777" w:rsidR="00C06FCB" w:rsidRDefault="0098353B" w:rsidP="007A5E54">
      <w:pPr>
        <w:pStyle w:val="ListParagraph"/>
        <w:numPr>
          <w:ilvl w:val="0"/>
          <w:numId w:val="107"/>
        </w:numPr>
        <w:ind w:left="720"/>
      </w:pPr>
      <w:r w:rsidRPr="0098353B">
        <w:t>Commission</w:t>
      </w:r>
    </w:p>
    <w:p w14:paraId="52139535" w14:textId="77777777" w:rsidR="00C06FCB" w:rsidRDefault="0098353B" w:rsidP="007A5E54">
      <w:pPr>
        <w:pStyle w:val="ListParagraph"/>
        <w:numPr>
          <w:ilvl w:val="0"/>
          <w:numId w:val="107"/>
        </w:numPr>
        <w:ind w:left="720"/>
      </w:pPr>
      <w:r w:rsidRPr="0098353B">
        <w:t>Alimony</w:t>
      </w:r>
    </w:p>
    <w:p w14:paraId="544FE0B4" w14:textId="77777777" w:rsidR="00434CE0" w:rsidRPr="000B485C" w:rsidRDefault="008472E0" w:rsidP="00825E0B">
      <w:pPr>
        <w:rPr>
          <w:szCs w:val="22"/>
        </w:rPr>
      </w:pPr>
      <w:r>
        <w:rPr>
          <w:szCs w:val="22"/>
        </w:rPr>
        <w:t>T</w:t>
      </w:r>
      <w:r w:rsidR="00302F5A">
        <w:rPr>
          <w:szCs w:val="22"/>
        </w:rPr>
        <w:t>here is a requirement, except in the case of alimony</w:t>
      </w:r>
      <w:r w:rsidR="00A95039">
        <w:rPr>
          <w:szCs w:val="22"/>
        </w:rPr>
        <w:fldChar w:fldCharType="begin"/>
      </w:r>
      <w:r w:rsidR="00293611">
        <w:instrText xml:space="preserve"> XE "</w:instrText>
      </w:r>
      <w:r w:rsidR="00293611" w:rsidRPr="00CD56BD">
        <w:rPr>
          <w:szCs w:val="22"/>
        </w:rPr>
        <w:instrText>alimony</w:instrText>
      </w:r>
      <w:r w:rsidR="00293611">
        <w:instrText xml:space="preserve">" </w:instrText>
      </w:r>
      <w:r w:rsidR="00A95039">
        <w:rPr>
          <w:szCs w:val="22"/>
        </w:rPr>
        <w:fldChar w:fldCharType="end"/>
      </w:r>
      <w:r w:rsidR="00302F5A">
        <w:rPr>
          <w:szCs w:val="22"/>
        </w:rPr>
        <w:t>, that the amounts received be derived from personal services that are actually rendered.</w:t>
      </w:r>
      <w:r w:rsidR="00297ACB">
        <w:rPr>
          <w:szCs w:val="22"/>
        </w:rPr>
        <w:t xml:space="preserve"> </w:t>
      </w:r>
      <w:r w:rsidR="00B75CAB">
        <w:rPr>
          <w:szCs w:val="22"/>
        </w:rPr>
        <w:t>W</w:t>
      </w:r>
      <w:r w:rsidR="00434CE0" w:rsidRPr="000B485C">
        <w:rPr>
          <w:szCs w:val="22"/>
        </w:rPr>
        <w:t xml:space="preserve">hat </w:t>
      </w:r>
      <w:r w:rsidR="00B75CAB">
        <w:rPr>
          <w:szCs w:val="22"/>
        </w:rPr>
        <w:t>the IRA rules don’t</w:t>
      </w:r>
      <w:r w:rsidR="00434CE0" w:rsidRPr="000B485C">
        <w:rPr>
          <w:szCs w:val="22"/>
        </w:rPr>
        <w:t xml:space="preserve"> include </w:t>
      </w:r>
      <w:r w:rsidR="00B75CAB">
        <w:rPr>
          <w:szCs w:val="22"/>
        </w:rPr>
        <w:t>under the heading of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00B75CAB">
        <w:rPr>
          <w:szCs w:val="22"/>
        </w:rPr>
        <w:t xml:space="preserve"> </w:t>
      </w:r>
      <w:r w:rsidR="00827A5A">
        <w:rPr>
          <w:szCs w:val="22"/>
        </w:rPr>
        <w:t>is</w:t>
      </w:r>
      <w:r w:rsidR="00434CE0" w:rsidRPr="000B485C">
        <w:rPr>
          <w:szCs w:val="22"/>
        </w:rPr>
        <w:t xml:space="preserve">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434CE0" w:rsidRPr="000B485C">
        <w:rPr>
          <w:szCs w:val="22"/>
        </w:rPr>
        <w:t>, dividends</w:t>
      </w:r>
      <w:r w:rsidR="00A95039">
        <w:rPr>
          <w:szCs w:val="22"/>
        </w:rPr>
        <w:fldChar w:fldCharType="begin"/>
      </w:r>
      <w:r w:rsidR="00293611">
        <w:instrText xml:space="preserve"> XE "</w:instrText>
      </w:r>
      <w:r w:rsidR="00293611" w:rsidRPr="00CD56BD">
        <w:rPr>
          <w:szCs w:val="22"/>
        </w:rPr>
        <w:instrText>dividends</w:instrText>
      </w:r>
      <w:r w:rsidR="00293611">
        <w:instrText xml:space="preserve">" </w:instrText>
      </w:r>
      <w:r w:rsidR="00A95039">
        <w:rPr>
          <w:szCs w:val="22"/>
        </w:rPr>
        <w:fldChar w:fldCharType="end"/>
      </w:r>
      <w:r w:rsidR="00434CE0" w:rsidRPr="000B485C">
        <w:rPr>
          <w:szCs w:val="22"/>
        </w:rPr>
        <w:t xml:space="preserve"> or capital gains</w:t>
      </w:r>
      <w:r w:rsidR="00A95039">
        <w:rPr>
          <w:szCs w:val="22"/>
        </w:rPr>
        <w:fldChar w:fldCharType="begin"/>
      </w:r>
      <w:r w:rsidR="00293611">
        <w:instrText xml:space="preserve"> XE "</w:instrText>
      </w:r>
      <w:r w:rsidR="00293611" w:rsidRPr="00CD56BD">
        <w:rPr>
          <w:szCs w:val="22"/>
        </w:rPr>
        <w:instrText>capital gains</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434CE0" w:rsidRPr="000B485C">
        <w:rPr>
          <w:szCs w:val="22"/>
        </w:rPr>
        <w:t xml:space="preserve">They are considered unearned income and do not qualify </w:t>
      </w:r>
      <w:r w:rsidR="00887A0A">
        <w:rPr>
          <w:szCs w:val="22"/>
        </w:rPr>
        <w:t>as the basis</w:t>
      </w:r>
      <w:r w:rsidR="00434CE0" w:rsidRPr="000B485C">
        <w:rPr>
          <w:szCs w:val="22"/>
        </w:rPr>
        <w:t xml:space="preserve"> for an IRA</w:t>
      </w:r>
      <w:r w:rsidR="00887A0A">
        <w:rPr>
          <w:szCs w:val="22"/>
        </w:rPr>
        <w:t xml:space="preserve"> contribution</w:t>
      </w:r>
      <w:r w:rsidR="00434CE0" w:rsidRPr="000B485C">
        <w:rPr>
          <w:szCs w:val="22"/>
        </w:rPr>
        <w:t>.</w:t>
      </w:r>
    </w:p>
    <w:p w14:paraId="176C3A0D" w14:textId="77777777" w:rsidR="00B75CAB" w:rsidRDefault="00434CE0" w:rsidP="00825E0B">
      <w:pPr>
        <w:rPr>
          <w:szCs w:val="22"/>
        </w:rPr>
      </w:pPr>
      <w:r w:rsidRPr="000B485C">
        <w:rPr>
          <w:szCs w:val="22"/>
        </w:rPr>
        <w:lastRenderedPageBreak/>
        <w:t>The only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that doesn’t require that the participant have an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00B75CAB">
        <w:rPr>
          <w:szCs w:val="22"/>
        </w:rPr>
        <w:t xml:space="preserve"> is </w:t>
      </w:r>
      <w:r w:rsidR="003E159C">
        <w:rPr>
          <w:szCs w:val="22"/>
        </w:rPr>
        <w:t>a</w:t>
      </w:r>
      <w:r w:rsidR="00B75CAB">
        <w:rPr>
          <w:szCs w:val="22"/>
        </w:rPr>
        <w:t xml:space="preserve"> spousal IRA</w:t>
      </w:r>
      <w:r w:rsidR="00A95039">
        <w:rPr>
          <w:szCs w:val="22"/>
        </w:rPr>
        <w:fldChar w:fldCharType="begin"/>
      </w:r>
      <w:r w:rsidR="00293611">
        <w:instrText xml:space="preserve"> XE "</w:instrText>
      </w:r>
      <w:r w:rsidR="00293611" w:rsidRPr="00CD56BD">
        <w:rPr>
          <w:szCs w:val="22"/>
        </w:rPr>
        <w:instrText>spousal IRA</w:instrText>
      </w:r>
      <w:r w:rsidR="00293611">
        <w:instrText xml:space="preserve">" </w:instrText>
      </w:r>
      <w:r w:rsidR="00A95039">
        <w:rPr>
          <w:szCs w:val="22"/>
        </w:rPr>
        <w:fldChar w:fldCharType="end"/>
      </w:r>
      <w:r w:rsidRPr="000B485C">
        <w:rPr>
          <w:szCs w:val="22"/>
        </w:rPr>
        <w:t>.</w:t>
      </w:r>
      <w:r w:rsidR="00297ACB">
        <w:rPr>
          <w:szCs w:val="22"/>
        </w:rPr>
        <w:t xml:space="preserve"> </w:t>
      </w:r>
      <w:r w:rsidR="00B75CAB">
        <w:rPr>
          <w:szCs w:val="22"/>
        </w:rPr>
        <w:t>Obviously, since</w:t>
      </w:r>
      <w:r w:rsidRPr="000B485C">
        <w:rPr>
          <w:szCs w:val="22"/>
        </w:rPr>
        <w:t xml:space="preserve"> spousal IRAs were created specifically to permit contributions for a</w:t>
      </w:r>
      <w:r w:rsidR="00B75CAB">
        <w:rPr>
          <w:szCs w:val="22"/>
        </w:rPr>
        <w:t>n un-compensated</w:t>
      </w:r>
      <w:r w:rsidR="00B75CAB" w:rsidRPr="000B485C">
        <w:rPr>
          <w:szCs w:val="22"/>
        </w:rPr>
        <w:t xml:space="preserve"> spouse</w:t>
      </w:r>
      <w:r w:rsidR="00B75CAB">
        <w:rPr>
          <w:szCs w:val="22"/>
        </w:rPr>
        <w:t>, it would not make any sense to require that the spouse have earned income!</w:t>
      </w:r>
    </w:p>
    <w:p w14:paraId="2DFBC457" w14:textId="77777777" w:rsidR="00825E0B" w:rsidRPr="00A1571C" w:rsidRDefault="00B75CAB" w:rsidP="00825E0B">
      <w:pPr>
        <w:rPr>
          <w:szCs w:val="22"/>
        </w:rPr>
      </w:pPr>
      <w:r w:rsidRPr="00A1571C">
        <w:rPr>
          <w:szCs w:val="22"/>
        </w:rPr>
        <w:t>Although the participant in a spousal IRA</w:t>
      </w:r>
      <w:r w:rsidR="00A95039">
        <w:rPr>
          <w:szCs w:val="22"/>
        </w:rPr>
        <w:fldChar w:fldCharType="begin"/>
      </w:r>
      <w:r w:rsidR="00293611">
        <w:instrText xml:space="preserve"> XE "</w:instrText>
      </w:r>
      <w:r w:rsidR="00293611" w:rsidRPr="00CD56BD">
        <w:rPr>
          <w:szCs w:val="22"/>
        </w:rPr>
        <w:instrText>spousal IRA</w:instrText>
      </w:r>
      <w:r w:rsidR="00293611">
        <w:instrText xml:space="preserve">" </w:instrText>
      </w:r>
      <w:r w:rsidR="00A95039">
        <w:rPr>
          <w:szCs w:val="22"/>
        </w:rPr>
        <w:fldChar w:fldCharType="end"/>
      </w:r>
      <w:r w:rsidRPr="00A1571C">
        <w:rPr>
          <w:szCs w:val="22"/>
        </w:rPr>
        <w:t xml:space="preserve"> is not required to meet the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Pr="00A1571C">
        <w:rPr>
          <w:szCs w:val="22"/>
        </w:rPr>
        <w:t xml:space="preserve"> requirement for contribution to an IRA, </w:t>
      </w:r>
      <w:r w:rsidR="003E159C">
        <w:rPr>
          <w:szCs w:val="22"/>
        </w:rPr>
        <w:t>a</w:t>
      </w:r>
      <w:r w:rsidR="00434CE0" w:rsidRPr="00A1571C">
        <w:rPr>
          <w:szCs w:val="22"/>
        </w:rPr>
        <w:t xml:space="preserve"> spousal IRA is available only if the participant is married and filing federal income tax on a joint basis.</w:t>
      </w:r>
      <w:r w:rsidR="00297ACB">
        <w:rPr>
          <w:szCs w:val="22"/>
        </w:rPr>
        <w:t xml:space="preserve"> </w:t>
      </w:r>
      <w:r w:rsidR="0040073C" w:rsidRPr="00A1571C">
        <w:rPr>
          <w:szCs w:val="22"/>
        </w:rPr>
        <w:t xml:space="preserve"> Furthermore, </w:t>
      </w:r>
      <w:r w:rsidR="003E159C">
        <w:rPr>
          <w:szCs w:val="22"/>
        </w:rPr>
        <w:t>a</w:t>
      </w:r>
      <w:r w:rsidR="0040073C" w:rsidRPr="00A1571C">
        <w:rPr>
          <w:szCs w:val="22"/>
        </w:rPr>
        <w:t xml:space="preserve"> spousal IRA, if established, must be a separate account and not commingled with the working spouse’s IRA.</w:t>
      </w:r>
      <w:r w:rsidR="00297ACB">
        <w:rPr>
          <w:szCs w:val="22"/>
        </w:rPr>
        <w:t xml:space="preserve"> </w:t>
      </w:r>
      <w:r w:rsidR="0040073C" w:rsidRPr="00A1571C">
        <w:rPr>
          <w:szCs w:val="22"/>
        </w:rPr>
        <w:t>It is not dependent upon nor can it be added to the working spouse’s IRA.</w:t>
      </w:r>
      <w:r w:rsidR="00297ACB">
        <w:rPr>
          <w:szCs w:val="22"/>
        </w:rPr>
        <w:t xml:space="preserve"> </w:t>
      </w:r>
      <w:r w:rsidR="0040073C" w:rsidRPr="00A1571C">
        <w:rPr>
          <w:szCs w:val="22"/>
        </w:rPr>
        <w:t>A separate IRA account or annuity must be established to hold the spousal IRA contribution.</w:t>
      </w:r>
    </w:p>
    <w:p w14:paraId="2EA7F940" w14:textId="77777777" w:rsidR="00D713A7" w:rsidRPr="00825E0B" w:rsidRDefault="00D713A7" w:rsidP="00825E0B">
      <w:pPr>
        <w:pStyle w:val="Heading2"/>
        <w:rPr>
          <w:sz w:val="22"/>
          <w:szCs w:val="22"/>
        </w:rPr>
      </w:pPr>
      <w:bookmarkStart w:id="20" w:name="_Toc48025251"/>
      <w:bookmarkStart w:id="21" w:name="_Toc404357140"/>
      <w:r w:rsidRPr="00453314">
        <w:t>Limits on Contributions</w:t>
      </w:r>
      <w:bookmarkEnd w:id="20"/>
      <w:bookmarkEnd w:id="21"/>
    </w:p>
    <w:p w14:paraId="7D11D633" w14:textId="77777777" w:rsidR="00434CE0" w:rsidRPr="00825E0B" w:rsidRDefault="004528A1" w:rsidP="00825E0B">
      <w:pPr>
        <w:rPr>
          <w:szCs w:val="22"/>
        </w:rPr>
      </w:pPr>
      <w:r w:rsidRPr="00825E0B">
        <w:rPr>
          <w:szCs w:val="22"/>
        </w:rPr>
        <w:t>T</w:t>
      </w:r>
      <w:r w:rsidR="00434CE0" w:rsidRPr="00825E0B">
        <w:rPr>
          <w:szCs w:val="22"/>
        </w:rPr>
        <w:t xml:space="preserve">he Taxpayer Relief Act of 1997 </w:t>
      </w:r>
      <w:r w:rsidRPr="00825E0B">
        <w:rPr>
          <w:szCs w:val="22"/>
        </w:rPr>
        <w:t xml:space="preserve">authorized Roth </w:t>
      </w:r>
      <w:r w:rsidR="00434CE0" w:rsidRPr="00825E0B">
        <w:rPr>
          <w:szCs w:val="22"/>
        </w:rPr>
        <w:t>IRA</w:t>
      </w:r>
      <w:r w:rsidRPr="00825E0B">
        <w:rPr>
          <w:szCs w:val="22"/>
        </w:rPr>
        <w:t>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Pr="00825E0B">
        <w:rPr>
          <w:szCs w:val="22"/>
        </w:rPr>
        <w:t>.</w:t>
      </w:r>
      <w:r w:rsidR="00297ACB">
        <w:rPr>
          <w:szCs w:val="22"/>
        </w:rPr>
        <w:t xml:space="preserve"> </w:t>
      </w:r>
      <w:r w:rsidRPr="00825E0B">
        <w:rPr>
          <w:szCs w:val="22"/>
        </w:rPr>
        <w:t>Before the creation of Roth IRAs,</w:t>
      </w:r>
      <w:r w:rsidR="00434CE0" w:rsidRPr="00825E0B">
        <w:rPr>
          <w:szCs w:val="22"/>
        </w:rPr>
        <w:t xml:space="preserve"> </w:t>
      </w:r>
      <w:r w:rsidR="0040073C" w:rsidRPr="00825E0B">
        <w:rPr>
          <w:szCs w:val="22"/>
        </w:rPr>
        <w:t xml:space="preserve">IRA </w:t>
      </w:r>
      <w:r w:rsidR="00434CE0" w:rsidRPr="00825E0B">
        <w:rPr>
          <w:szCs w:val="22"/>
        </w:rPr>
        <w:t>contributions were limited to the lesser of $2,000 and 100% of the individual’s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00434CE0" w:rsidRPr="00825E0B">
        <w:rPr>
          <w:szCs w:val="22"/>
        </w:rPr>
        <w:t>.</w:t>
      </w:r>
      <w:r w:rsidR="00297ACB">
        <w:rPr>
          <w:szCs w:val="22"/>
        </w:rPr>
        <w:t xml:space="preserve"> </w:t>
      </w:r>
      <w:r w:rsidR="00434CE0" w:rsidRPr="00825E0B">
        <w:rPr>
          <w:szCs w:val="22"/>
        </w:rPr>
        <w:t xml:space="preserve">Since </w:t>
      </w:r>
      <w:r w:rsidRPr="00825E0B">
        <w:rPr>
          <w:szCs w:val="22"/>
        </w:rPr>
        <w:t>Roth IRAs have come upon the scene</w:t>
      </w:r>
      <w:r w:rsidR="00434CE0" w:rsidRPr="00825E0B">
        <w:rPr>
          <w:szCs w:val="22"/>
        </w:rPr>
        <w:t>, the contribution limits</w:t>
      </w:r>
      <w:r w:rsidR="00A95039">
        <w:rPr>
          <w:szCs w:val="22"/>
        </w:rPr>
        <w:fldChar w:fldCharType="begin"/>
      </w:r>
      <w:r w:rsidR="00293611">
        <w:instrText xml:space="preserve"> XE "</w:instrText>
      </w:r>
      <w:r w:rsidR="00293611" w:rsidRPr="00CD56BD">
        <w:rPr>
          <w:szCs w:val="22"/>
        </w:rPr>
        <w:instrText>contribution limits</w:instrText>
      </w:r>
      <w:r w:rsidR="00293611">
        <w:instrText xml:space="preserve">" </w:instrText>
      </w:r>
      <w:r w:rsidR="00A95039">
        <w:rPr>
          <w:szCs w:val="22"/>
        </w:rPr>
        <w:fldChar w:fldCharType="end"/>
      </w:r>
      <w:r w:rsidR="00434CE0" w:rsidRPr="00825E0B">
        <w:rPr>
          <w:szCs w:val="22"/>
        </w:rPr>
        <w:t xml:space="preserve"> have </w:t>
      </w:r>
      <w:r w:rsidR="008472E0">
        <w:rPr>
          <w:szCs w:val="22"/>
        </w:rPr>
        <w:t xml:space="preserve">also </w:t>
      </w:r>
      <w:r w:rsidR="00434CE0" w:rsidRPr="00825E0B">
        <w:rPr>
          <w:szCs w:val="22"/>
        </w:rPr>
        <w:t>changed.</w:t>
      </w:r>
    </w:p>
    <w:p w14:paraId="30536D72" w14:textId="77777777" w:rsidR="00434CE0" w:rsidRDefault="00434CE0" w:rsidP="00825E0B">
      <w:pPr>
        <w:rPr>
          <w:szCs w:val="22"/>
        </w:rPr>
      </w:pPr>
      <w:r w:rsidRPr="000B485C">
        <w:rPr>
          <w:szCs w:val="22"/>
        </w:rPr>
        <w:t>The contribution limits</w:t>
      </w:r>
      <w:r w:rsidR="00A95039">
        <w:rPr>
          <w:szCs w:val="22"/>
        </w:rPr>
        <w:fldChar w:fldCharType="begin"/>
      </w:r>
      <w:r w:rsidR="00293611">
        <w:instrText xml:space="preserve"> XE "</w:instrText>
      </w:r>
      <w:r w:rsidR="00293611" w:rsidRPr="00CD56BD">
        <w:rPr>
          <w:szCs w:val="22"/>
        </w:rPr>
        <w:instrText>contribution limits</w:instrText>
      </w:r>
      <w:r w:rsidR="00293611">
        <w:instrText xml:space="preserve">" </w:instrText>
      </w:r>
      <w:r w:rsidR="00A95039">
        <w:rPr>
          <w:szCs w:val="22"/>
        </w:rPr>
        <w:fldChar w:fldCharType="end"/>
      </w:r>
      <w:r w:rsidR="004528A1">
        <w:rPr>
          <w:szCs w:val="22"/>
        </w:rPr>
        <w:t xml:space="preserv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w:t>
      </w:r>
      <w:r w:rsidR="008C05EA">
        <w:rPr>
          <w:szCs w:val="22"/>
        </w:rPr>
        <w:t>are reduced by</w:t>
      </w:r>
      <w:r w:rsidRPr="000B485C">
        <w:rPr>
          <w:szCs w:val="22"/>
        </w:rPr>
        <w:t xml:space="preserve"> any contribution </w:t>
      </w:r>
      <w:r w:rsidR="008C05EA">
        <w:rPr>
          <w:szCs w:val="22"/>
        </w:rPr>
        <w:t xml:space="preserve">for the same tax year </w:t>
      </w:r>
      <w:r w:rsidRPr="000B485C">
        <w:rPr>
          <w:szCs w:val="22"/>
        </w:rPr>
        <w:t>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w:t>
      </w:r>
      <w:r w:rsidR="00297ACB">
        <w:rPr>
          <w:szCs w:val="22"/>
        </w:rPr>
        <w:t xml:space="preserve"> </w:t>
      </w:r>
      <w:r w:rsidRPr="000B485C">
        <w:rPr>
          <w:szCs w:val="22"/>
        </w:rPr>
        <w:t xml:space="preserve">So, the annual contribution limits </w:t>
      </w:r>
      <w:r w:rsidR="004528A1">
        <w:rPr>
          <w:szCs w:val="22"/>
        </w:rPr>
        <w:t xml:space="preserve">to an IRA </w:t>
      </w:r>
      <w:r w:rsidR="008472E0">
        <w:rPr>
          <w:szCs w:val="22"/>
        </w:rPr>
        <w:t>apply to</w:t>
      </w:r>
      <w:r w:rsidR="004528A1">
        <w:rPr>
          <w:szCs w:val="22"/>
        </w:rPr>
        <w:t xml:space="preserve"> both traditional IRA</w:t>
      </w:r>
      <w:r w:rsidR="00887A0A">
        <w:rPr>
          <w:szCs w:val="22"/>
        </w:rPr>
        <w:t xml:space="preserve"> contribution</w:t>
      </w:r>
      <w:r w:rsidR="004528A1">
        <w:rPr>
          <w:szCs w:val="22"/>
        </w:rPr>
        <w:t>s and Roth IRA</w:t>
      </w:r>
      <w:r w:rsidR="00887A0A">
        <w:rPr>
          <w:szCs w:val="22"/>
        </w:rPr>
        <w:t xml:space="preserve"> contribution</w:t>
      </w:r>
      <w:r w:rsidR="004528A1">
        <w:rPr>
          <w:szCs w:val="22"/>
        </w:rPr>
        <w:t>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4528A1">
        <w:rPr>
          <w:szCs w:val="22"/>
        </w:rPr>
        <w:t>.</w:t>
      </w:r>
      <w:r w:rsidR="00297ACB">
        <w:rPr>
          <w:szCs w:val="22"/>
        </w:rPr>
        <w:t xml:space="preserve"> </w:t>
      </w:r>
      <w:r w:rsidR="004528A1">
        <w:rPr>
          <w:szCs w:val="22"/>
        </w:rPr>
        <w:t>To the extent that an individual makes a contribution to one, it limits the amount of contribution he or she may make to the other for the same tax year.</w:t>
      </w:r>
    </w:p>
    <w:p w14:paraId="0B9A7F44" w14:textId="77777777" w:rsidR="00434CE0" w:rsidRPr="000B485C" w:rsidRDefault="004528A1" w:rsidP="00825E0B">
      <w:pPr>
        <w:rPr>
          <w:szCs w:val="22"/>
        </w:rPr>
      </w:pPr>
      <w:r>
        <w:rPr>
          <w:szCs w:val="22"/>
        </w:rPr>
        <w:t>I</w:t>
      </w:r>
      <w:r w:rsidR="00434CE0" w:rsidRPr="000B485C">
        <w:rPr>
          <w:szCs w:val="22"/>
        </w:rPr>
        <w:t>f an individual failed to realize that his or her contribution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needed to be reduced by the amo</w:t>
      </w:r>
      <w:r>
        <w:rPr>
          <w:szCs w:val="22"/>
        </w:rPr>
        <w:t>unt contributed to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and</w:t>
      </w:r>
      <w:r>
        <w:rPr>
          <w:szCs w:val="22"/>
        </w:rPr>
        <w:t>, as a result, over-contributed</w:t>
      </w:r>
      <w:r w:rsidR="00434CE0" w:rsidRPr="000B485C">
        <w:rPr>
          <w:szCs w:val="22"/>
        </w:rPr>
        <w:t xml:space="preserve"> </w:t>
      </w:r>
      <w:r w:rsidR="00E53672">
        <w:rPr>
          <w:szCs w:val="22"/>
        </w:rPr>
        <w:t>an</w:t>
      </w:r>
      <w:r w:rsidR="00434CE0" w:rsidRPr="000B485C">
        <w:rPr>
          <w:szCs w:val="22"/>
        </w:rPr>
        <w:t xml:space="preserve"> excise tax </w:t>
      </w:r>
      <w:r w:rsidR="00E53672">
        <w:rPr>
          <w:szCs w:val="22"/>
        </w:rPr>
        <w:t xml:space="preserve">penalty </w:t>
      </w:r>
      <w:r w:rsidR="00434CE0" w:rsidRPr="000B485C">
        <w:rPr>
          <w:szCs w:val="22"/>
        </w:rPr>
        <w:t xml:space="preserve">of 6% is levied </w:t>
      </w:r>
      <w:r w:rsidR="00E53672">
        <w:rPr>
          <w:szCs w:val="22"/>
        </w:rPr>
        <w:t xml:space="preserve">annually </w:t>
      </w:r>
      <w:r w:rsidR="00434CE0" w:rsidRPr="000B485C">
        <w:rPr>
          <w:szCs w:val="22"/>
        </w:rPr>
        <w:t>until the excess is withdrawn</w:t>
      </w:r>
      <w:r w:rsidR="00E53672">
        <w:rPr>
          <w:szCs w:val="22"/>
        </w:rPr>
        <w:t>.</w:t>
      </w:r>
      <w:r w:rsidR="00297ACB">
        <w:rPr>
          <w:szCs w:val="22"/>
        </w:rPr>
        <w:t xml:space="preserve"> </w:t>
      </w:r>
      <w:r w:rsidR="00434CE0" w:rsidRPr="000B485C">
        <w:rPr>
          <w:szCs w:val="22"/>
        </w:rPr>
        <w:t xml:space="preserve"> Th</w:t>
      </w:r>
      <w:r w:rsidR="00E53672">
        <w:rPr>
          <w:szCs w:val="22"/>
        </w:rPr>
        <w:t>e</w:t>
      </w:r>
      <w:r w:rsidR="00434CE0" w:rsidRPr="000B485C">
        <w:rPr>
          <w:szCs w:val="22"/>
        </w:rPr>
        <w:t xml:space="preserve"> penalty tax </w:t>
      </w:r>
      <w:r w:rsidR="00E53672">
        <w:rPr>
          <w:szCs w:val="22"/>
        </w:rPr>
        <w:t xml:space="preserve">is non-deductible and </w:t>
      </w:r>
      <w:r w:rsidR="00434CE0" w:rsidRPr="000B485C">
        <w:rPr>
          <w:szCs w:val="22"/>
        </w:rPr>
        <w:t xml:space="preserve">applies even </w:t>
      </w:r>
      <w:r w:rsidR="00E53672">
        <w:rPr>
          <w:szCs w:val="22"/>
        </w:rPr>
        <w:t>though the excess contribution wa</w:t>
      </w:r>
      <w:r w:rsidR="00434CE0" w:rsidRPr="000B485C">
        <w:rPr>
          <w:szCs w:val="22"/>
        </w:rPr>
        <w:t>s made inadvertently.</w:t>
      </w:r>
    </w:p>
    <w:p w14:paraId="411106CE" w14:textId="77777777" w:rsidR="00434CE0" w:rsidRDefault="00434CE0" w:rsidP="00825E0B">
      <w:pPr>
        <w:rPr>
          <w:szCs w:val="22"/>
        </w:rPr>
      </w:pPr>
      <w:r w:rsidRPr="000B485C">
        <w:rPr>
          <w:szCs w:val="22"/>
        </w:rPr>
        <w:t xml:space="preserve">The </w:t>
      </w:r>
      <w:r w:rsidR="008C05EA">
        <w:rPr>
          <w:szCs w:val="22"/>
        </w:rPr>
        <w:t>penalty tax will not apply if the excess contribution</w:t>
      </w:r>
      <w:r w:rsidRPr="000B485C">
        <w:rPr>
          <w:szCs w:val="22"/>
        </w:rPr>
        <w:t xml:space="preserve"> is removed</w:t>
      </w:r>
      <w:r w:rsidR="00E53672">
        <w:rPr>
          <w:szCs w:val="22"/>
        </w:rPr>
        <w:t>, along with any net income attributable to the excess contribution,</w:t>
      </w:r>
      <w:r w:rsidRPr="000B485C">
        <w:rPr>
          <w:szCs w:val="22"/>
        </w:rPr>
        <w:t xml:space="preserve"> from the IRA account at any time before the tax return is due for the year </w:t>
      </w:r>
      <w:r w:rsidR="00B627DE">
        <w:rPr>
          <w:szCs w:val="22"/>
        </w:rPr>
        <w:t>for</w:t>
      </w:r>
      <w:r w:rsidRPr="000B485C">
        <w:rPr>
          <w:szCs w:val="22"/>
        </w:rPr>
        <w:t xml:space="preserve"> which the contribution was made.</w:t>
      </w:r>
      <w:r w:rsidR="00297ACB">
        <w:rPr>
          <w:szCs w:val="22"/>
        </w:rPr>
        <w:t xml:space="preserve"> </w:t>
      </w:r>
      <w:r w:rsidRPr="000B485C">
        <w:rPr>
          <w:szCs w:val="22"/>
        </w:rPr>
        <w:t xml:space="preserve">Any extensions on filing </w:t>
      </w:r>
      <w:r w:rsidR="00887A0A">
        <w:rPr>
          <w:szCs w:val="22"/>
        </w:rPr>
        <w:t xml:space="preserve">a tax return </w:t>
      </w:r>
      <w:r w:rsidR="00082611">
        <w:rPr>
          <w:szCs w:val="22"/>
        </w:rPr>
        <w:t>a</w:t>
      </w:r>
      <w:r w:rsidRPr="000B485C">
        <w:rPr>
          <w:szCs w:val="22"/>
        </w:rPr>
        <w:t>lso extend this deadline.</w:t>
      </w:r>
      <w:r w:rsidR="00297ACB">
        <w:rPr>
          <w:szCs w:val="22"/>
        </w:rPr>
        <w:t xml:space="preserve"> </w:t>
      </w:r>
      <w:r w:rsidR="00E53672">
        <w:rPr>
          <w:szCs w:val="22"/>
        </w:rPr>
        <w:t>Interestingly, however, even though the excise tax penalty would be avoided by timely removal of the excess contribution, the accompanying net income that must also be removed is includible in the individual’s income and subject to premature withdrawal penalties</w:t>
      </w:r>
      <w:r w:rsidR="00A95039">
        <w:rPr>
          <w:szCs w:val="22"/>
        </w:rPr>
        <w:fldChar w:fldCharType="begin"/>
      </w:r>
      <w:r w:rsidR="00293611">
        <w:instrText xml:space="preserve"> XE "</w:instrText>
      </w:r>
      <w:r w:rsidR="00293611" w:rsidRPr="00CD56BD">
        <w:rPr>
          <w:szCs w:val="22"/>
        </w:rPr>
        <w:instrText>premature withdrawal penalties</w:instrText>
      </w:r>
      <w:r w:rsidR="00293611">
        <w:instrText xml:space="preserve">" </w:instrText>
      </w:r>
      <w:r w:rsidR="00A95039">
        <w:rPr>
          <w:szCs w:val="22"/>
        </w:rPr>
        <w:fldChar w:fldCharType="end"/>
      </w:r>
      <w:r w:rsidR="00E53672">
        <w:rPr>
          <w:szCs w:val="22"/>
        </w:rPr>
        <w:t>.</w:t>
      </w:r>
    </w:p>
    <w:p w14:paraId="453EE208" w14:textId="77777777" w:rsidR="005A5201" w:rsidRPr="000B485C" w:rsidRDefault="005A5201" w:rsidP="00825E0B">
      <w:pPr>
        <w:rPr>
          <w:szCs w:val="22"/>
        </w:rPr>
      </w:pPr>
      <w:r>
        <w:t xml:space="preserve">Excess contributions to an IRA cannot be applied as contributions for the following year. These </w:t>
      </w:r>
      <w:r w:rsidRPr="00B929AC">
        <w:t>excess</w:t>
      </w:r>
      <w:r>
        <w:t xml:space="preserve"> funds must be withdrawn to avoid the 6 percent penalty.</w:t>
      </w:r>
    </w:p>
    <w:p w14:paraId="1872148A" w14:textId="77777777" w:rsidR="005D116F" w:rsidRDefault="005A5201">
      <w:pPr>
        <w:pStyle w:val="Heading3"/>
      </w:pPr>
      <w:bookmarkStart w:id="22" w:name="_Toc404357141"/>
      <w:r>
        <w:t>Maximum Annual Contributions</w:t>
      </w:r>
      <w:bookmarkEnd w:id="22"/>
    </w:p>
    <w:p w14:paraId="6B8ABE7B" w14:textId="77777777" w:rsidR="00082611" w:rsidRDefault="002B54B0" w:rsidP="00825E0B">
      <w:pPr>
        <w:rPr>
          <w:szCs w:val="22"/>
        </w:rPr>
      </w:pPr>
      <w:r>
        <w:rPr>
          <w:szCs w:val="22"/>
        </w:rPr>
        <w:t>The maximum permitted contribution to an IRA—an amount that had remained level at $2,000 for many years—has been increased by the Economic Growth and Tax Relief Reconciliation Act of 2001</w:t>
      </w:r>
      <w:r w:rsidR="00A95039">
        <w:rPr>
          <w:szCs w:val="22"/>
        </w:rPr>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rPr>
          <w:szCs w:val="22"/>
        </w:rPr>
        <w:fldChar w:fldCharType="end"/>
      </w:r>
      <w:r w:rsidR="00082611">
        <w:rPr>
          <w:szCs w:val="22"/>
        </w:rPr>
        <w:t xml:space="preserve"> (EGTRRA) with respect to:</w:t>
      </w:r>
    </w:p>
    <w:p w14:paraId="44BA7868" w14:textId="77777777" w:rsidR="00C06FCB" w:rsidRDefault="00082611" w:rsidP="007A5E54">
      <w:pPr>
        <w:pStyle w:val="ListParagraph"/>
        <w:numPr>
          <w:ilvl w:val="0"/>
          <w:numId w:val="108"/>
        </w:numPr>
        <w:ind w:left="720"/>
      </w:pPr>
      <w:r w:rsidRPr="00BE7E52">
        <w:t>Regular contributions</w:t>
      </w:r>
    </w:p>
    <w:p w14:paraId="40AA1435" w14:textId="77777777" w:rsidR="00C06FCB" w:rsidRDefault="00082611" w:rsidP="007A5E54">
      <w:pPr>
        <w:pStyle w:val="ListParagraph"/>
        <w:numPr>
          <w:ilvl w:val="0"/>
          <w:numId w:val="108"/>
        </w:numPr>
        <w:ind w:left="720"/>
      </w:pPr>
      <w:r w:rsidRPr="00BE7E52">
        <w:t>Catch-up contributions</w:t>
      </w:r>
      <w:r w:rsidR="00A95039">
        <w:fldChar w:fldCharType="begin"/>
      </w:r>
      <w:r w:rsidR="00293611">
        <w:instrText xml:space="preserve"> XE "</w:instrText>
      </w:r>
      <w:r w:rsidR="00293611" w:rsidRPr="00CD56BD">
        <w:instrText>Catch-up contributions</w:instrText>
      </w:r>
      <w:r w:rsidR="00293611">
        <w:instrText xml:space="preserve">" </w:instrText>
      </w:r>
      <w:r w:rsidR="00A95039">
        <w:fldChar w:fldCharType="end"/>
      </w:r>
    </w:p>
    <w:p w14:paraId="57D61AB5" w14:textId="77777777" w:rsidR="00082611" w:rsidRDefault="00082611" w:rsidP="00BE7E52">
      <w:pPr>
        <w:spacing w:after="0"/>
      </w:pPr>
      <w:r>
        <w:t xml:space="preserve">The maximum annual contribution amount to an IRA depends on the tax year for which the contribution is made, as </w:t>
      </w:r>
      <w:r w:rsidRPr="00BE7E52">
        <w:t>shown</w:t>
      </w:r>
      <w:r>
        <w:t xml:space="preserve"> in the table below:</w:t>
      </w:r>
    </w:p>
    <w:p w14:paraId="4BCB6958" w14:textId="77777777" w:rsidR="00082611" w:rsidRDefault="00082611" w:rsidP="00BE7E52">
      <w:pPr>
        <w:spacing w:after="0"/>
        <w:rPr>
          <w:szCs w:val="22"/>
        </w:rPr>
      </w:pPr>
    </w:p>
    <w:p w14:paraId="55953BC5" w14:textId="77777777" w:rsidR="009E4FCF" w:rsidRDefault="009E4FCF">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10"/>
        <w:gridCol w:w="2790"/>
      </w:tblGrid>
      <w:tr w:rsidR="00082611" w:rsidRPr="006D389B" w14:paraId="11D810BA" w14:textId="77777777" w:rsidTr="006D389B">
        <w:trPr>
          <w:trHeight w:val="447"/>
          <w:jc w:val="center"/>
        </w:trPr>
        <w:tc>
          <w:tcPr>
            <w:tcW w:w="261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5922D67F" w14:textId="77777777" w:rsidR="00082611" w:rsidRPr="006D389B" w:rsidRDefault="00082611" w:rsidP="006D389B">
            <w:pPr>
              <w:spacing w:before="80"/>
              <w:jc w:val="center"/>
              <w:rPr>
                <w:rFonts w:ascii="Arial" w:hAnsi="Arial" w:cs="Arial"/>
                <w:b/>
                <w:szCs w:val="22"/>
              </w:rPr>
            </w:pPr>
            <w:r w:rsidRPr="006D389B">
              <w:rPr>
                <w:rFonts w:ascii="Arial" w:hAnsi="Arial" w:cs="Arial"/>
                <w:b/>
                <w:szCs w:val="22"/>
              </w:rPr>
              <w:lastRenderedPageBreak/>
              <w:t>Tax</w:t>
            </w:r>
            <w:r w:rsidR="00BE7E52" w:rsidRPr="006D389B">
              <w:rPr>
                <w:rFonts w:ascii="Arial" w:hAnsi="Arial" w:cs="Arial"/>
                <w:b/>
                <w:szCs w:val="22"/>
              </w:rPr>
              <w:br/>
            </w:r>
            <w:r w:rsidRPr="006D389B">
              <w:rPr>
                <w:rFonts w:ascii="Arial" w:hAnsi="Arial" w:cs="Arial"/>
                <w:b/>
                <w:szCs w:val="22"/>
              </w:rPr>
              <w:t>Year</w:t>
            </w:r>
          </w:p>
        </w:tc>
        <w:tc>
          <w:tcPr>
            <w:tcW w:w="279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288BAF7D" w14:textId="77777777" w:rsidR="00082611" w:rsidRPr="006D389B" w:rsidRDefault="00082611" w:rsidP="006D389B">
            <w:pPr>
              <w:spacing w:before="80"/>
              <w:jc w:val="center"/>
              <w:rPr>
                <w:rFonts w:ascii="Arial" w:hAnsi="Arial" w:cs="Arial"/>
                <w:b/>
                <w:szCs w:val="22"/>
              </w:rPr>
            </w:pPr>
            <w:r w:rsidRPr="006D389B">
              <w:rPr>
                <w:rFonts w:ascii="Arial" w:hAnsi="Arial" w:cs="Arial"/>
                <w:b/>
                <w:szCs w:val="22"/>
              </w:rPr>
              <w:t>Maximum</w:t>
            </w:r>
            <w:r w:rsidR="00BE7E52" w:rsidRPr="006D389B">
              <w:rPr>
                <w:rFonts w:ascii="Arial" w:hAnsi="Arial" w:cs="Arial"/>
                <w:b/>
                <w:szCs w:val="22"/>
              </w:rPr>
              <w:br/>
            </w:r>
            <w:r w:rsidRPr="006D389B">
              <w:rPr>
                <w:rFonts w:ascii="Arial" w:hAnsi="Arial" w:cs="Arial"/>
                <w:b/>
                <w:szCs w:val="22"/>
              </w:rPr>
              <w:t>Contribution</w:t>
            </w:r>
          </w:p>
        </w:tc>
      </w:tr>
      <w:tr w:rsidR="00082611" w:rsidRPr="006D389B" w14:paraId="2FFDA52F" w14:textId="77777777" w:rsidTr="006D389B">
        <w:trPr>
          <w:jc w:val="center"/>
        </w:trPr>
        <w:tc>
          <w:tcPr>
            <w:tcW w:w="2610" w:type="dxa"/>
            <w:tcBorders>
              <w:top w:val="single" w:sz="6" w:space="0" w:color="auto"/>
              <w:bottom w:val="single" w:sz="6" w:space="0" w:color="auto"/>
              <w:right w:val="single" w:sz="6" w:space="0" w:color="auto"/>
            </w:tcBorders>
          </w:tcPr>
          <w:p w14:paraId="29065988" w14:textId="77777777" w:rsidR="00082611" w:rsidRPr="006753CA" w:rsidRDefault="00082611" w:rsidP="006D389B">
            <w:pPr>
              <w:pStyle w:val="wTableNormal"/>
              <w:jc w:val="center"/>
            </w:pPr>
            <w:r w:rsidRPr="006753CA">
              <w:t>2005 – 2007</w:t>
            </w:r>
          </w:p>
        </w:tc>
        <w:tc>
          <w:tcPr>
            <w:tcW w:w="2790" w:type="dxa"/>
            <w:tcBorders>
              <w:top w:val="single" w:sz="6" w:space="0" w:color="auto"/>
              <w:left w:val="single" w:sz="6" w:space="0" w:color="auto"/>
              <w:bottom w:val="single" w:sz="6" w:space="0" w:color="auto"/>
            </w:tcBorders>
          </w:tcPr>
          <w:p w14:paraId="73A58574" w14:textId="77777777" w:rsidR="00082611" w:rsidRPr="006753CA" w:rsidRDefault="00A1571C" w:rsidP="006D389B">
            <w:pPr>
              <w:pStyle w:val="wTableNormal"/>
              <w:jc w:val="center"/>
            </w:pPr>
            <w:r w:rsidRPr="006753CA">
              <w:t>$</w:t>
            </w:r>
            <w:r w:rsidR="00082611" w:rsidRPr="006753CA">
              <w:t>4,000</w:t>
            </w:r>
          </w:p>
        </w:tc>
      </w:tr>
      <w:tr w:rsidR="00042365" w:rsidRPr="006D389B" w14:paraId="58FC19C7" w14:textId="77777777" w:rsidTr="006D389B">
        <w:trPr>
          <w:trHeight w:val="135"/>
          <w:jc w:val="center"/>
        </w:trPr>
        <w:tc>
          <w:tcPr>
            <w:tcW w:w="2610" w:type="dxa"/>
            <w:tcBorders>
              <w:top w:val="single" w:sz="6" w:space="0" w:color="auto"/>
              <w:bottom w:val="single" w:sz="6" w:space="0" w:color="auto"/>
              <w:right w:val="single" w:sz="6" w:space="0" w:color="auto"/>
            </w:tcBorders>
          </w:tcPr>
          <w:p w14:paraId="30B6C13C" w14:textId="77777777" w:rsidR="00042365" w:rsidRPr="006753CA" w:rsidRDefault="00042365" w:rsidP="00827A5A">
            <w:pPr>
              <w:pStyle w:val="wTableNormal"/>
              <w:jc w:val="center"/>
            </w:pPr>
            <w:r w:rsidRPr="006753CA">
              <w:t>2008 – 201</w:t>
            </w:r>
            <w:r w:rsidR="00827A5A">
              <w:t>2</w:t>
            </w:r>
          </w:p>
        </w:tc>
        <w:tc>
          <w:tcPr>
            <w:tcW w:w="2790" w:type="dxa"/>
            <w:tcBorders>
              <w:top w:val="single" w:sz="6" w:space="0" w:color="auto"/>
              <w:left w:val="single" w:sz="6" w:space="0" w:color="auto"/>
              <w:bottom w:val="single" w:sz="6" w:space="0" w:color="auto"/>
            </w:tcBorders>
            <w:shd w:val="clear" w:color="auto" w:fill="auto"/>
          </w:tcPr>
          <w:p w14:paraId="6E1FE75F" w14:textId="77777777" w:rsidR="00042365" w:rsidRPr="006753CA" w:rsidRDefault="00042365" w:rsidP="00B627DE">
            <w:pPr>
              <w:pStyle w:val="wTableNormal"/>
              <w:jc w:val="center"/>
            </w:pPr>
            <w:r>
              <w:t xml:space="preserve"> </w:t>
            </w:r>
            <w:r w:rsidRPr="006753CA">
              <w:t>$5,000</w:t>
            </w:r>
          </w:p>
        </w:tc>
      </w:tr>
      <w:tr w:rsidR="00B627DE" w:rsidRPr="006D389B" w14:paraId="6ACA1E59" w14:textId="77777777" w:rsidTr="006D389B">
        <w:trPr>
          <w:trHeight w:val="135"/>
          <w:jc w:val="center"/>
        </w:trPr>
        <w:tc>
          <w:tcPr>
            <w:tcW w:w="2610" w:type="dxa"/>
            <w:tcBorders>
              <w:top w:val="single" w:sz="6" w:space="0" w:color="auto"/>
              <w:bottom w:val="single" w:sz="6" w:space="0" w:color="auto"/>
              <w:right w:val="single" w:sz="6" w:space="0" w:color="auto"/>
            </w:tcBorders>
          </w:tcPr>
          <w:p w14:paraId="5A75C148" w14:textId="77777777" w:rsidR="00B627DE" w:rsidRPr="006753CA" w:rsidRDefault="00B627DE" w:rsidP="00827A5A">
            <w:pPr>
              <w:pStyle w:val="wTableNormal"/>
              <w:jc w:val="center"/>
            </w:pPr>
            <w:r>
              <w:t>2013</w:t>
            </w:r>
          </w:p>
        </w:tc>
        <w:tc>
          <w:tcPr>
            <w:tcW w:w="2790" w:type="dxa"/>
            <w:tcBorders>
              <w:top w:val="single" w:sz="6" w:space="0" w:color="auto"/>
              <w:left w:val="single" w:sz="6" w:space="0" w:color="auto"/>
              <w:bottom w:val="single" w:sz="6" w:space="0" w:color="auto"/>
            </w:tcBorders>
            <w:shd w:val="clear" w:color="auto" w:fill="auto"/>
          </w:tcPr>
          <w:p w14:paraId="7284C6C3" w14:textId="77777777" w:rsidR="00B627DE" w:rsidRDefault="00B627DE" w:rsidP="005A5201">
            <w:pPr>
              <w:pStyle w:val="wTableNormal"/>
              <w:jc w:val="center"/>
            </w:pPr>
            <w:r>
              <w:t>$5,500</w:t>
            </w:r>
          </w:p>
        </w:tc>
      </w:tr>
      <w:tr w:rsidR="005A5201" w:rsidRPr="006D389B" w14:paraId="7C66890D" w14:textId="77777777" w:rsidTr="006D389B">
        <w:trPr>
          <w:trHeight w:val="135"/>
          <w:jc w:val="center"/>
        </w:trPr>
        <w:tc>
          <w:tcPr>
            <w:tcW w:w="2610" w:type="dxa"/>
            <w:tcBorders>
              <w:top w:val="single" w:sz="6" w:space="0" w:color="auto"/>
              <w:bottom w:val="single" w:sz="6" w:space="0" w:color="auto"/>
              <w:right w:val="single" w:sz="6" w:space="0" w:color="auto"/>
            </w:tcBorders>
          </w:tcPr>
          <w:p w14:paraId="66FB31BE" w14:textId="77777777" w:rsidR="005A5201" w:rsidRDefault="005A5201" w:rsidP="00827A5A">
            <w:pPr>
              <w:pStyle w:val="wTableNormal"/>
              <w:jc w:val="center"/>
            </w:pPr>
            <w:r>
              <w:t>2014</w:t>
            </w:r>
          </w:p>
        </w:tc>
        <w:tc>
          <w:tcPr>
            <w:tcW w:w="2790" w:type="dxa"/>
            <w:tcBorders>
              <w:top w:val="single" w:sz="6" w:space="0" w:color="auto"/>
              <w:left w:val="single" w:sz="6" w:space="0" w:color="auto"/>
              <w:bottom w:val="single" w:sz="6" w:space="0" w:color="auto"/>
            </w:tcBorders>
            <w:shd w:val="clear" w:color="auto" w:fill="auto"/>
          </w:tcPr>
          <w:p w14:paraId="4DB03824" w14:textId="77777777" w:rsidR="005A5201" w:rsidRDefault="005A5201" w:rsidP="008472E0">
            <w:pPr>
              <w:pStyle w:val="wTableNormal"/>
              <w:jc w:val="center"/>
            </w:pPr>
            <w:r>
              <w:t>$5,500</w:t>
            </w:r>
          </w:p>
        </w:tc>
      </w:tr>
      <w:tr w:rsidR="008472E0" w:rsidRPr="006D389B" w14:paraId="6FA3B08C" w14:textId="77777777" w:rsidTr="006D389B">
        <w:trPr>
          <w:trHeight w:val="135"/>
          <w:jc w:val="center"/>
        </w:trPr>
        <w:tc>
          <w:tcPr>
            <w:tcW w:w="2610" w:type="dxa"/>
            <w:tcBorders>
              <w:top w:val="single" w:sz="6" w:space="0" w:color="auto"/>
              <w:bottom w:val="single" w:sz="6" w:space="0" w:color="auto"/>
              <w:right w:val="single" w:sz="6" w:space="0" w:color="auto"/>
            </w:tcBorders>
          </w:tcPr>
          <w:p w14:paraId="04A4BEF9" w14:textId="77777777" w:rsidR="008472E0" w:rsidRDefault="008472E0" w:rsidP="00827A5A">
            <w:pPr>
              <w:pStyle w:val="wTableNormal"/>
              <w:jc w:val="center"/>
            </w:pPr>
            <w:r>
              <w:t>2015</w:t>
            </w:r>
          </w:p>
        </w:tc>
        <w:tc>
          <w:tcPr>
            <w:tcW w:w="2790" w:type="dxa"/>
            <w:tcBorders>
              <w:top w:val="single" w:sz="6" w:space="0" w:color="auto"/>
              <w:left w:val="single" w:sz="6" w:space="0" w:color="auto"/>
              <w:bottom w:val="single" w:sz="6" w:space="0" w:color="auto"/>
            </w:tcBorders>
            <w:shd w:val="clear" w:color="auto" w:fill="auto"/>
          </w:tcPr>
          <w:p w14:paraId="3F3F04B0" w14:textId="77777777" w:rsidR="008472E0" w:rsidRDefault="008472E0" w:rsidP="005A5201">
            <w:pPr>
              <w:pStyle w:val="wTableNormal"/>
              <w:jc w:val="center"/>
            </w:pPr>
            <w:r>
              <w:t>$5,500*</w:t>
            </w:r>
          </w:p>
        </w:tc>
      </w:tr>
      <w:tr w:rsidR="00042365" w:rsidRPr="006D389B" w14:paraId="4F4A3726" w14:textId="77777777" w:rsidTr="006D389B">
        <w:trPr>
          <w:trHeight w:val="135"/>
          <w:jc w:val="center"/>
        </w:trPr>
        <w:tc>
          <w:tcPr>
            <w:tcW w:w="5400" w:type="dxa"/>
            <w:gridSpan w:val="2"/>
            <w:tcBorders>
              <w:top w:val="single" w:sz="6" w:space="0" w:color="auto"/>
            </w:tcBorders>
          </w:tcPr>
          <w:p w14:paraId="75B8D82D" w14:textId="77777777" w:rsidR="00042365" w:rsidRPr="006D389B" w:rsidRDefault="00042365" w:rsidP="00827A5A">
            <w:pPr>
              <w:pStyle w:val="wTableNormal"/>
              <w:rPr>
                <w:sz w:val="18"/>
                <w:szCs w:val="18"/>
              </w:rPr>
            </w:pPr>
            <w:r w:rsidRPr="006D389B">
              <w:rPr>
                <w:sz w:val="18"/>
                <w:szCs w:val="18"/>
              </w:rPr>
              <w:t>*Indexed for inflation in $500 increments</w:t>
            </w:r>
          </w:p>
        </w:tc>
      </w:tr>
    </w:tbl>
    <w:p w14:paraId="6D328FEF" w14:textId="77777777" w:rsidR="00BB1F7B" w:rsidRDefault="00BB1F7B" w:rsidP="00BE7E52">
      <w:pPr>
        <w:spacing w:after="0"/>
        <w:rPr>
          <w:szCs w:val="22"/>
        </w:rPr>
      </w:pPr>
    </w:p>
    <w:p w14:paraId="47C8A994" w14:textId="77777777" w:rsidR="00082611" w:rsidRDefault="00082611" w:rsidP="00825E0B">
      <w:pPr>
        <w:rPr>
          <w:szCs w:val="22"/>
        </w:rPr>
      </w:pPr>
      <w:r>
        <w:rPr>
          <w:szCs w:val="22"/>
        </w:rPr>
        <w:t>In addition to these increases in regular IRA contribution limits</w:t>
      </w:r>
      <w:r w:rsidR="00A95039">
        <w:rPr>
          <w:szCs w:val="22"/>
        </w:rPr>
        <w:fldChar w:fldCharType="begin"/>
      </w:r>
      <w:r w:rsidR="00293611">
        <w:instrText xml:space="preserve"> XE "</w:instrText>
      </w:r>
      <w:r w:rsidR="00293611" w:rsidRPr="00CD56BD">
        <w:rPr>
          <w:szCs w:val="22"/>
        </w:rPr>
        <w:instrText>contribution limits</w:instrText>
      </w:r>
      <w:r w:rsidR="00293611">
        <w:instrText xml:space="preserve">" </w:instrText>
      </w:r>
      <w:r w:rsidR="00A95039">
        <w:rPr>
          <w:szCs w:val="22"/>
        </w:rPr>
        <w:fldChar w:fldCharType="end"/>
      </w:r>
      <w:r>
        <w:rPr>
          <w:szCs w:val="22"/>
        </w:rPr>
        <w:t xml:space="preserve">, EGTRRA permits </w:t>
      </w:r>
      <w:r w:rsidR="00C47625">
        <w:rPr>
          <w:szCs w:val="22"/>
        </w:rPr>
        <w:t>catch-up</w:t>
      </w:r>
      <w:r>
        <w:rPr>
          <w:szCs w:val="22"/>
        </w:rPr>
        <w:t xml:space="preserve"> </w:t>
      </w:r>
      <w:r w:rsidR="00C47625">
        <w:rPr>
          <w:szCs w:val="22"/>
        </w:rPr>
        <w:t xml:space="preserve">IRA </w:t>
      </w:r>
      <w:r>
        <w:rPr>
          <w:szCs w:val="22"/>
        </w:rPr>
        <w:t xml:space="preserve">contributions for individuals who have attained age 50 before the close of the taxable year for which </w:t>
      </w:r>
      <w:r w:rsidR="00C47625">
        <w:rPr>
          <w:szCs w:val="22"/>
        </w:rPr>
        <w:t>the IRA contribution is made.</w:t>
      </w:r>
      <w:r w:rsidR="00297ACB">
        <w:rPr>
          <w:szCs w:val="22"/>
        </w:rPr>
        <w:t xml:space="preserve"> </w:t>
      </w:r>
      <w:r w:rsidR="00C47625">
        <w:rPr>
          <w:szCs w:val="22"/>
        </w:rPr>
        <w:t>The amount of these additional contributions also depends on the tax year for which the catch-up contribution is made.</w:t>
      </w:r>
      <w:r w:rsidR="00297ACB">
        <w:rPr>
          <w:szCs w:val="22"/>
        </w:rPr>
        <w:t xml:space="preserve"> </w:t>
      </w:r>
      <w:r w:rsidR="00C47625">
        <w:rPr>
          <w:szCs w:val="22"/>
        </w:rPr>
        <w:t>The maximum catch-up contributions</w:t>
      </w:r>
      <w:r w:rsidR="00A95039">
        <w:rPr>
          <w:szCs w:val="22"/>
        </w:rPr>
        <w:fldChar w:fldCharType="begin"/>
      </w:r>
      <w:r w:rsidR="00500F1D">
        <w:instrText xml:space="preserve"> XE "</w:instrText>
      </w:r>
      <w:r w:rsidR="00500F1D" w:rsidRPr="00CD56BD">
        <w:rPr>
          <w:szCs w:val="22"/>
        </w:rPr>
        <w:instrText>catch-up contributions</w:instrText>
      </w:r>
      <w:r w:rsidR="00500F1D">
        <w:instrText xml:space="preserve">" </w:instrText>
      </w:r>
      <w:r w:rsidR="00A95039">
        <w:rPr>
          <w:szCs w:val="22"/>
        </w:rPr>
        <w:fldChar w:fldCharType="end"/>
      </w:r>
      <w:r w:rsidR="00C47625">
        <w:rPr>
          <w:szCs w:val="22"/>
        </w:rPr>
        <w:t xml:space="preserve"> are shown below:</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90"/>
        <w:gridCol w:w="3060"/>
      </w:tblGrid>
      <w:tr w:rsidR="00C47625" w:rsidRPr="006D389B" w14:paraId="4C55C417" w14:textId="77777777" w:rsidTr="006D389B">
        <w:trPr>
          <w:trHeight w:val="539"/>
          <w:jc w:val="center"/>
        </w:trPr>
        <w:tc>
          <w:tcPr>
            <w:tcW w:w="279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781E6003" w14:textId="77777777" w:rsidR="00C47625" w:rsidRPr="00A1571C" w:rsidRDefault="00C47625" w:rsidP="000E1047">
            <w:pPr>
              <w:pStyle w:val="WTableHeaderChar"/>
            </w:pPr>
            <w:r w:rsidRPr="00A1571C">
              <w:t>Tax</w:t>
            </w:r>
            <w:r w:rsidR="000E1047">
              <w:br/>
            </w:r>
            <w:r w:rsidRPr="00A1571C">
              <w:t>Year</w:t>
            </w:r>
          </w:p>
        </w:tc>
        <w:tc>
          <w:tcPr>
            <w:tcW w:w="306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40565DB5" w14:textId="77777777" w:rsidR="00C47625" w:rsidRPr="00A1571C" w:rsidRDefault="00C47625" w:rsidP="000E1047">
            <w:pPr>
              <w:pStyle w:val="WTableHeaderChar"/>
            </w:pPr>
            <w:r w:rsidRPr="00A1571C">
              <w:t>Maximum</w:t>
            </w:r>
            <w:r w:rsidR="006F6ED7">
              <w:t xml:space="preserve"> </w:t>
            </w:r>
            <w:r w:rsidRPr="00A1571C">
              <w:t>Catch-</w:t>
            </w:r>
            <w:r w:rsidR="00B60B21">
              <w:t>U</w:t>
            </w:r>
            <w:r w:rsidRPr="00A1571C">
              <w:t>p</w:t>
            </w:r>
            <w:r w:rsidR="000E1047">
              <w:br/>
            </w:r>
            <w:r w:rsidRPr="00A1571C">
              <w:t>Contribution</w:t>
            </w:r>
          </w:p>
        </w:tc>
      </w:tr>
      <w:tr w:rsidR="00C47625" w:rsidRPr="006D389B" w14:paraId="191F0CA0" w14:textId="77777777" w:rsidTr="006D389B">
        <w:trPr>
          <w:jc w:val="center"/>
        </w:trPr>
        <w:tc>
          <w:tcPr>
            <w:tcW w:w="2790" w:type="dxa"/>
            <w:tcBorders>
              <w:bottom w:val="single" w:sz="6" w:space="0" w:color="auto"/>
              <w:right w:val="single" w:sz="6" w:space="0" w:color="auto"/>
            </w:tcBorders>
          </w:tcPr>
          <w:p w14:paraId="1150904F" w14:textId="77777777" w:rsidR="00C47625" w:rsidRPr="006753CA" w:rsidRDefault="00C47625" w:rsidP="006D389B">
            <w:pPr>
              <w:pStyle w:val="wTableNormal"/>
              <w:jc w:val="center"/>
            </w:pPr>
            <w:r w:rsidRPr="006753CA">
              <w:t>2002 – 2005</w:t>
            </w:r>
          </w:p>
        </w:tc>
        <w:tc>
          <w:tcPr>
            <w:tcW w:w="3060" w:type="dxa"/>
            <w:tcBorders>
              <w:left w:val="single" w:sz="6" w:space="0" w:color="auto"/>
              <w:bottom w:val="single" w:sz="6" w:space="0" w:color="auto"/>
            </w:tcBorders>
          </w:tcPr>
          <w:p w14:paraId="5ABCD408" w14:textId="77777777" w:rsidR="00C47625" w:rsidRPr="006753CA" w:rsidRDefault="00A1571C" w:rsidP="006D389B">
            <w:pPr>
              <w:pStyle w:val="wTableNormal"/>
              <w:jc w:val="center"/>
            </w:pPr>
            <w:r w:rsidRPr="006753CA">
              <w:t>$</w:t>
            </w:r>
            <w:r w:rsidR="00C47625" w:rsidRPr="006753CA">
              <w:t>500</w:t>
            </w:r>
          </w:p>
        </w:tc>
      </w:tr>
      <w:tr w:rsidR="00C47625" w:rsidRPr="006D389B" w14:paraId="24E58C2E" w14:textId="77777777" w:rsidTr="006D389B">
        <w:trPr>
          <w:jc w:val="center"/>
        </w:trPr>
        <w:tc>
          <w:tcPr>
            <w:tcW w:w="2790" w:type="dxa"/>
            <w:tcBorders>
              <w:top w:val="single" w:sz="6" w:space="0" w:color="auto"/>
              <w:right w:val="single" w:sz="6" w:space="0" w:color="auto"/>
            </w:tcBorders>
          </w:tcPr>
          <w:p w14:paraId="5734282C" w14:textId="77777777" w:rsidR="00C47625" w:rsidRPr="006753CA" w:rsidRDefault="00C47625" w:rsidP="006D389B">
            <w:pPr>
              <w:pStyle w:val="wTableNormal"/>
              <w:jc w:val="center"/>
            </w:pPr>
            <w:r w:rsidRPr="006753CA">
              <w:t>2006 and later</w:t>
            </w:r>
          </w:p>
        </w:tc>
        <w:tc>
          <w:tcPr>
            <w:tcW w:w="3060" w:type="dxa"/>
            <w:tcBorders>
              <w:top w:val="single" w:sz="6" w:space="0" w:color="auto"/>
              <w:left w:val="single" w:sz="6" w:space="0" w:color="auto"/>
            </w:tcBorders>
          </w:tcPr>
          <w:p w14:paraId="06F5F5DB" w14:textId="77777777" w:rsidR="00C47625" w:rsidRPr="006753CA" w:rsidRDefault="00A1571C" w:rsidP="006D389B">
            <w:pPr>
              <w:pStyle w:val="wTableNormal"/>
              <w:jc w:val="center"/>
            </w:pPr>
            <w:r w:rsidRPr="006753CA">
              <w:t>$</w:t>
            </w:r>
            <w:r w:rsidR="00C47625" w:rsidRPr="006753CA">
              <w:t>1,000</w:t>
            </w:r>
          </w:p>
        </w:tc>
      </w:tr>
    </w:tbl>
    <w:p w14:paraId="153F8E57" w14:textId="77777777" w:rsidR="00BB1F7B" w:rsidRDefault="00BB1F7B" w:rsidP="002B6D51">
      <w:pPr>
        <w:spacing w:after="0"/>
        <w:rPr>
          <w:szCs w:val="22"/>
        </w:rPr>
      </w:pPr>
    </w:p>
    <w:p w14:paraId="424459FA" w14:textId="77777777" w:rsidR="00C47625" w:rsidRDefault="00C47625" w:rsidP="00825E0B">
      <w:pPr>
        <w:rPr>
          <w:szCs w:val="22"/>
        </w:rPr>
      </w:pPr>
      <w:r>
        <w:rPr>
          <w:szCs w:val="22"/>
        </w:rPr>
        <w:t>Note that even though EGTRRA authorizes larger IRA contributions, the basic requirement continues that the contribution may not exceed the increased dollar limit or 100 percent of compensation.</w:t>
      </w:r>
    </w:p>
    <w:p w14:paraId="533C9267" w14:textId="77777777" w:rsidR="00C47625" w:rsidRPr="00453314" w:rsidRDefault="0040073C" w:rsidP="00A1571C">
      <w:pPr>
        <w:pStyle w:val="Heading2"/>
      </w:pPr>
      <w:bookmarkStart w:id="23" w:name="_Toc48025252"/>
      <w:bookmarkStart w:id="24" w:name="_Toc404357142"/>
      <w:r w:rsidRPr="00453314">
        <w:t>Traditional IRA Tax Considerations</w:t>
      </w:r>
      <w:bookmarkEnd w:id="23"/>
      <w:bookmarkEnd w:id="24"/>
    </w:p>
    <w:p w14:paraId="55C9574D" w14:textId="77777777" w:rsidR="0015229C" w:rsidRDefault="0015229C" w:rsidP="00825E0B">
      <w:pPr>
        <w:rPr>
          <w:szCs w:val="22"/>
        </w:rPr>
      </w:pPr>
      <w:r>
        <w:rPr>
          <w:szCs w:val="22"/>
        </w:rPr>
        <w:t xml:space="preserve">The legislation creating IRAs and its subsequent expansion is intended to place the </w:t>
      </w:r>
      <w:r w:rsidR="003A4859">
        <w:rPr>
          <w:szCs w:val="22"/>
        </w:rPr>
        <w:t xml:space="preserve">federal </w:t>
      </w:r>
      <w:r>
        <w:rPr>
          <w:szCs w:val="22"/>
        </w:rPr>
        <w:t>government in the role of a facilitator—enabling individuals to provide their own retirement income—rather than as a primary provider of retirement security.</w:t>
      </w:r>
      <w:r w:rsidR="00297ACB">
        <w:rPr>
          <w:szCs w:val="22"/>
        </w:rPr>
        <w:t xml:space="preserve"> </w:t>
      </w:r>
      <w:r>
        <w:rPr>
          <w:szCs w:val="22"/>
        </w:rPr>
        <w:t xml:space="preserve">The means by which </w:t>
      </w:r>
      <w:r w:rsidR="003A4859">
        <w:rPr>
          <w:szCs w:val="22"/>
        </w:rPr>
        <w:t>government often encourages actions that it deems desirable is through tax advantages and incentives.</w:t>
      </w:r>
      <w:r w:rsidR="00297ACB">
        <w:rPr>
          <w:szCs w:val="22"/>
        </w:rPr>
        <w:t xml:space="preserve"> </w:t>
      </w:r>
      <w:r w:rsidR="003A4859">
        <w:rPr>
          <w:szCs w:val="22"/>
        </w:rPr>
        <w:t>IRAs are no exception to that</w:t>
      </w:r>
      <w:r w:rsidR="008C05EA">
        <w:rPr>
          <w:szCs w:val="22"/>
        </w:rPr>
        <w:t xml:space="preserve"> principle</w:t>
      </w:r>
      <w:r w:rsidR="003A4859">
        <w:rPr>
          <w:szCs w:val="22"/>
        </w:rPr>
        <w:t>.</w:t>
      </w:r>
      <w:r w:rsidR="00297ACB">
        <w:rPr>
          <w:szCs w:val="22"/>
        </w:rPr>
        <w:t xml:space="preserve"> </w:t>
      </w:r>
      <w:r w:rsidR="003A4859">
        <w:rPr>
          <w:szCs w:val="22"/>
        </w:rPr>
        <w:t>Tax treatment plays a substantial role in the popularity of IRAs.</w:t>
      </w:r>
    </w:p>
    <w:p w14:paraId="282715AB" w14:textId="77777777" w:rsidR="003A4859" w:rsidRDefault="003A4859" w:rsidP="00825E0B">
      <w:pPr>
        <w:rPr>
          <w:szCs w:val="22"/>
        </w:rPr>
      </w:pPr>
      <w:r>
        <w:rPr>
          <w:szCs w:val="22"/>
        </w:rPr>
        <w:t>In</w:t>
      </w:r>
      <w:r w:rsidR="00434CE0" w:rsidRPr="000B485C">
        <w:rPr>
          <w:szCs w:val="22"/>
        </w:rPr>
        <w:t xml:space="preserve"> consider</w:t>
      </w:r>
      <w:r>
        <w:rPr>
          <w:szCs w:val="22"/>
        </w:rPr>
        <w:t>ing</w:t>
      </w:r>
      <w:r w:rsidR="00434CE0" w:rsidRPr="000B485C">
        <w:rPr>
          <w:szCs w:val="22"/>
        </w:rPr>
        <w:t xml:space="preserve"> the tax</w:t>
      </w:r>
      <w:r>
        <w:rPr>
          <w:szCs w:val="22"/>
        </w:rPr>
        <w:t xml:space="preserve"> treatment</w:t>
      </w:r>
      <w:r w:rsidR="00434CE0" w:rsidRPr="000B485C">
        <w:rPr>
          <w:szCs w:val="22"/>
        </w:rPr>
        <w:t xml:space="preserve"> of t</w:t>
      </w:r>
      <w:r>
        <w:rPr>
          <w:szCs w:val="22"/>
        </w:rPr>
        <w:t>raditional IRAs, we need to examine IRAs from</w:t>
      </w:r>
      <w:r w:rsidR="00434CE0" w:rsidRPr="000B485C">
        <w:rPr>
          <w:szCs w:val="22"/>
        </w:rPr>
        <w:t xml:space="preserve"> four </w:t>
      </w:r>
      <w:r>
        <w:rPr>
          <w:szCs w:val="22"/>
        </w:rPr>
        <w:t>perspectives</w:t>
      </w:r>
      <w:r w:rsidR="00434CE0" w:rsidRPr="000B485C">
        <w:rPr>
          <w:szCs w:val="22"/>
        </w:rPr>
        <w:t>:</w:t>
      </w:r>
    </w:p>
    <w:p w14:paraId="7E76FBC9" w14:textId="77777777" w:rsidR="00C06FCB" w:rsidRDefault="003A4859" w:rsidP="007A5E54">
      <w:pPr>
        <w:pStyle w:val="ListParagraph"/>
        <w:numPr>
          <w:ilvl w:val="0"/>
          <w:numId w:val="109"/>
        </w:numPr>
        <w:ind w:left="720"/>
      </w:pPr>
      <w:r w:rsidRPr="000E1047">
        <w:t>Contributions</w:t>
      </w:r>
    </w:p>
    <w:p w14:paraId="35A656D7" w14:textId="77777777" w:rsidR="00C06FCB" w:rsidRDefault="003A4859" w:rsidP="007A5E54">
      <w:pPr>
        <w:pStyle w:val="ListParagraph"/>
        <w:numPr>
          <w:ilvl w:val="0"/>
          <w:numId w:val="109"/>
        </w:numPr>
        <w:ind w:left="720"/>
      </w:pPr>
      <w:r w:rsidRPr="000E1047">
        <w:t>Accumulations</w:t>
      </w:r>
    </w:p>
    <w:p w14:paraId="495E43A8" w14:textId="77777777" w:rsidR="00C06FCB" w:rsidRDefault="003A4859" w:rsidP="007A5E54">
      <w:pPr>
        <w:pStyle w:val="ListParagraph"/>
        <w:numPr>
          <w:ilvl w:val="0"/>
          <w:numId w:val="109"/>
        </w:numPr>
        <w:ind w:left="720"/>
      </w:pPr>
      <w:r w:rsidRPr="000E1047">
        <w:t>Transfers</w:t>
      </w:r>
      <w:r w:rsidR="000E1047" w:rsidRPr="000E1047">
        <w:t xml:space="preserve">, </w:t>
      </w:r>
      <w:r w:rsidRPr="000E1047">
        <w:t>and</w:t>
      </w:r>
    </w:p>
    <w:p w14:paraId="40565DCC" w14:textId="77777777" w:rsidR="00C06FCB" w:rsidRDefault="003A4859" w:rsidP="007A5E54">
      <w:pPr>
        <w:pStyle w:val="ListParagraph"/>
        <w:numPr>
          <w:ilvl w:val="0"/>
          <w:numId w:val="109"/>
        </w:numPr>
        <w:spacing w:after="0"/>
        <w:ind w:left="720"/>
      </w:pPr>
      <w:r w:rsidRPr="000E1047">
        <w:t>Distributions</w:t>
      </w:r>
    </w:p>
    <w:p w14:paraId="4C5925D0" w14:textId="77777777" w:rsidR="003A4859" w:rsidRPr="00453314" w:rsidRDefault="00E70356" w:rsidP="000E1047">
      <w:pPr>
        <w:pStyle w:val="Heading3"/>
      </w:pPr>
      <w:bookmarkStart w:id="25" w:name="_Toc404357143"/>
      <w:r w:rsidRPr="00453314">
        <w:t>Traditional IRA Tax Considerations—Contributions</w:t>
      </w:r>
      <w:bookmarkEnd w:id="25"/>
    </w:p>
    <w:p w14:paraId="130C7A13" w14:textId="77777777" w:rsidR="00434CE0" w:rsidRPr="000B485C" w:rsidRDefault="00434CE0" w:rsidP="00825E0B">
      <w:pPr>
        <w:rPr>
          <w:szCs w:val="22"/>
        </w:rPr>
      </w:pPr>
      <w:r w:rsidRPr="000B485C">
        <w:rPr>
          <w:szCs w:val="22"/>
        </w:rPr>
        <w:t>We need to make an initial distinction in our discussion of the tax treatment of contributions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w:t>
      </w:r>
      <w:r w:rsidR="00297ACB">
        <w:rPr>
          <w:szCs w:val="22"/>
        </w:rPr>
        <w:t xml:space="preserve"> </w:t>
      </w:r>
      <w:r w:rsidR="00494439">
        <w:rPr>
          <w:szCs w:val="22"/>
        </w:rPr>
        <w:t>That distinction relates to w</w:t>
      </w:r>
      <w:r w:rsidRPr="000B485C">
        <w:rPr>
          <w:szCs w:val="22"/>
        </w:rPr>
        <w:t xml:space="preserve">hether or not the individual </w:t>
      </w:r>
      <w:r w:rsidR="00494439">
        <w:rPr>
          <w:szCs w:val="22"/>
        </w:rPr>
        <w:t xml:space="preserve">making the contribution </w:t>
      </w:r>
      <w:r w:rsidRPr="000B485C">
        <w:rPr>
          <w:szCs w:val="22"/>
        </w:rPr>
        <w:t>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Pr="000B485C">
        <w:rPr>
          <w:szCs w:val="22"/>
        </w:rPr>
        <w:t xml:space="preserve"> in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sidR="00494439">
        <w:rPr>
          <w:szCs w:val="22"/>
        </w:rPr>
        <w:t>.</w:t>
      </w:r>
    </w:p>
    <w:p w14:paraId="60B3F8C0" w14:textId="77777777" w:rsidR="00434CE0" w:rsidRDefault="00494439" w:rsidP="00825E0B">
      <w:pPr>
        <w:rPr>
          <w:szCs w:val="22"/>
        </w:rPr>
      </w:pPr>
      <w:r>
        <w:rPr>
          <w:szCs w:val="22"/>
        </w:rPr>
        <w:t>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Pr>
          <w:szCs w:val="22"/>
        </w:rPr>
        <w:t xml:space="preserve"> includes a:</w:t>
      </w:r>
    </w:p>
    <w:p w14:paraId="735AD362" w14:textId="77777777" w:rsidR="00C06FCB" w:rsidRDefault="000050F1" w:rsidP="007A5E54">
      <w:pPr>
        <w:pStyle w:val="ListParagraph"/>
        <w:numPr>
          <w:ilvl w:val="0"/>
          <w:numId w:val="110"/>
        </w:numPr>
        <w:ind w:left="720"/>
        <w:rPr>
          <w:szCs w:val="22"/>
        </w:rPr>
      </w:pPr>
      <w:r w:rsidRPr="000E1047">
        <w:t>Pension plan</w:t>
      </w:r>
    </w:p>
    <w:p w14:paraId="7E6C5D8B" w14:textId="77777777" w:rsidR="00C06FCB" w:rsidRDefault="000050F1" w:rsidP="007A5E54">
      <w:pPr>
        <w:pStyle w:val="ListParagraph"/>
        <w:numPr>
          <w:ilvl w:val="0"/>
          <w:numId w:val="110"/>
        </w:numPr>
        <w:ind w:left="720"/>
        <w:rPr>
          <w:szCs w:val="22"/>
        </w:rPr>
      </w:pPr>
      <w:r w:rsidRPr="000E1047">
        <w:t>Profit sharing plan</w:t>
      </w:r>
    </w:p>
    <w:p w14:paraId="1E4DA2F2" w14:textId="77777777" w:rsidR="00C06FCB" w:rsidRDefault="000050F1" w:rsidP="007A5E54">
      <w:pPr>
        <w:pStyle w:val="ListParagraph"/>
        <w:numPr>
          <w:ilvl w:val="0"/>
          <w:numId w:val="110"/>
        </w:numPr>
        <w:ind w:left="720"/>
        <w:rPr>
          <w:szCs w:val="22"/>
        </w:rPr>
      </w:pPr>
      <w:r w:rsidRPr="000E1047">
        <w:lastRenderedPageBreak/>
        <w:t>401(k) plan</w:t>
      </w:r>
    </w:p>
    <w:p w14:paraId="2370E4B9" w14:textId="77777777" w:rsidR="00C06FCB" w:rsidRDefault="000050F1" w:rsidP="007A5E54">
      <w:pPr>
        <w:pStyle w:val="ListParagraph"/>
        <w:numPr>
          <w:ilvl w:val="0"/>
          <w:numId w:val="110"/>
        </w:numPr>
        <w:ind w:left="720"/>
        <w:rPr>
          <w:szCs w:val="22"/>
        </w:rPr>
      </w:pPr>
      <w:r w:rsidRPr="000E1047">
        <w:t>403(b) tax sheltered annuity plan</w:t>
      </w:r>
    </w:p>
    <w:p w14:paraId="3D0359A2" w14:textId="77777777" w:rsidR="00C06FCB" w:rsidRDefault="000050F1" w:rsidP="007A5E54">
      <w:pPr>
        <w:pStyle w:val="ListParagraph"/>
        <w:numPr>
          <w:ilvl w:val="0"/>
          <w:numId w:val="110"/>
        </w:numPr>
        <w:ind w:left="720"/>
        <w:rPr>
          <w:szCs w:val="22"/>
        </w:rPr>
      </w:pPr>
      <w:r w:rsidRPr="000E1047">
        <w:t>Simplified employee pension (SEP</w:t>
      </w:r>
      <w:r w:rsidR="00947114">
        <w:t>)</w:t>
      </w:r>
    </w:p>
    <w:p w14:paraId="4492802E" w14:textId="77777777" w:rsidR="00C06FCB" w:rsidRDefault="000050F1" w:rsidP="007A5E54">
      <w:pPr>
        <w:pStyle w:val="ListParagraph"/>
        <w:numPr>
          <w:ilvl w:val="0"/>
          <w:numId w:val="110"/>
        </w:numPr>
        <w:ind w:left="720"/>
        <w:rPr>
          <w:szCs w:val="22"/>
        </w:rPr>
      </w:pPr>
      <w:r w:rsidRPr="000E1047">
        <w:t>SIMPLE IRA</w:t>
      </w:r>
    </w:p>
    <w:p w14:paraId="434C46DE" w14:textId="77777777" w:rsidR="00494439" w:rsidRDefault="00494439" w:rsidP="00825E0B">
      <w:pPr>
        <w:rPr>
          <w:szCs w:val="22"/>
        </w:rPr>
      </w:pPr>
      <w:r>
        <w:rPr>
          <w:szCs w:val="22"/>
        </w:rPr>
        <w:t>If the individual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the deduction for his or her contribution may be reduced or eliminated.</w:t>
      </w:r>
    </w:p>
    <w:p w14:paraId="60478A8A" w14:textId="77777777" w:rsidR="00434CE0" w:rsidRPr="000B485C" w:rsidRDefault="00060984" w:rsidP="00825E0B">
      <w:pPr>
        <w:rPr>
          <w:szCs w:val="22"/>
        </w:rPr>
      </w:pPr>
      <w:r>
        <w:rPr>
          <w:szCs w:val="22"/>
        </w:rPr>
        <w:t>A</w:t>
      </w:r>
      <w:r w:rsidR="00434CE0" w:rsidRPr="000B485C">
        <w:rPr>
          <w:szCs w:val="22"/>
        </w:rPr>
        <w:t xml:space="preserve">ny qualified retirement plan sponsored by an employer qualifies </w:t>
      </w:r>
      <w:r>
        <w:rPr>
          <w:szCs w:val="22"/>
        </w:rPr>
        <w:t>as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Pr>
          <w:szCs w:val="22"/>
        </w:rPr>
        <w:t>.</w:t>
      </w:r>
      <w:r w:rsidR="00297ACB">
        <w:rPr>
          <w:szCs w:val="22"/>
        </w:rPr>
        <w:t xml:space="preserve"> </w:t>
      </w:r>
      <w:r>
        <w:rPr>
          <w:szCs w:val="22"/>
        </w:rPr>
        <w:t>I</w:t>
      </w:r>
      <w:r w:rsidR="00434CE0" w:rsidRPr="000B485C">
        <w:rPr>
          <w:szCs w:val="22"/>
        </w:rPr>
        <w:t xml:space="preserve">n certain cases, </w:t>
      </w:r>
      <w:r w:rsidR="004D28BB">
        <w:rPr>
          <w:szCs w:val="22"/>
        </w:rPr>
        <w:t xml:space="preserve">a qualified retirement plan is considered an employer-sponsored retirement plan </w:t>
      </w:r>
      <w:r w:rsidR="00434CE0" w:rsidRPr="000B485C">
        <w:rPr>
          <w:szCs w:val="22"/>
        </w:rPr>
        <w:t>even if the employ</w:t>
      </w:r>
      <w:r w:rsidR="004D28BB">
        <w:rPr>
          <w:szCs w:val="22"/>
        </w:rPr>
        <w:t>er makes no contributions to it.</w:t>
      </w:r>
      <w:r w:rsidR="00297ACB">
        <w:rPr>
          <w:szCs w:val="22"/>
        </w:rPr>
        <w:t xml:space="preserve"> </w:t>
      </w:r>
      <w:r w:rsidR="004D28BB">
        <w:rPr>
          <w:szCs w:val="22"/>
        </w:rPr>
        <w:t>Examples of these plans are</w:t>
      </w:r>
      <w:r w:rsidR="00434CE0" w:rsidRPr="000B485C">
        <w:rPr>
          <w:szCs w:val="22"/>
        </w:rPr>
        <w:t xml:space="preserve"> unmatched 401(k) </w:t>
      </w:r>
      <w:r w:rsidR="004D28BB">
        <w:rPr>
          <w:szCs w:val="22"/>
        </w:rPr>
        <w:t>and</w:t>
      </w:r>
      <w:r w:rsidR="00434CE0" w:rsidRPr="000B485C">
        <w:rPr>
          <w:szCs w:val="22"/>
        </w:rPr>
        <w:t xml:space="preserve"> 403(b) plan</w:t>
      </w:r>
      <w:r w:rsidR="004D28BB">
        <w:rPr>
          <w:szCs w:val="22"/>
        </w:rPr>
        <w:t>s</w:t>
      </w:r>
      <w:r w:rsidR="00434CE0" w:rsidRPr="000B485C">
        <w:rPr>
          <w:szCs w:val="22"/>
        </w:rPr>
        <w:t>.</w:t>
      </w:r>
    </w:p>
    <w:p w14:paraId="339AAC72" w14:textId="77777777" w:rsidR="004D28BB" w:rsidRDefault="00434CE0" w:rsidP="00825E0B">
      <w:pPr>
        <w:rPr>
          <w:szCs w:val="22"/>
        </w:rPr>
      </w:pPr>
      <w:r w:rsidRPr="000B485C">
        <w:rPr>
          <w:szCs w:val="22"/>
        </w:rPr>
        <w:t xml:space="preserve">If </w:t>
      </w:r>
      <w:r w:rsidR="004D28BB">
        <w:rPr>
          <w:szCs w:val="22"/>
        </w:rPr>
        <w:t>t</w:t>
      </w:r>
      <w:r w:rsidRPr="000B485C">
        <w:rPr>
          <w:szCs w:val="22"/>
        </w:rPr>
        <w:t xml:space="preserve">he </w:t>
      </w:r>
      <w:r w:rsidR="004D28BB">
        <w:rPr>
          <w:szCs w:val="22"/>
        </w:rPr>
        <w:t>individual</w:t>
      </w:r>
      <w:r w:rsidRPr="000B485C">
        <w:rPr>
          <w:szCs w:val="22"/>
        </w:rPr>
        <w:t xml:space="preserve"> is not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004D28BB">
        <w:rPr>
          <w:szCs w:val="22"/>
        </w:rPr>
        <w:t xml:space="preserve"> in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sidR="000927B1">
        <w:rPr>
          <w:szCs w:val="22"/>
        </w:rPr>
        <w:t xml:space="preserve"> and is otherwise eligible to contribute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w:t>
      </w:r>
      <w:r w:rsidR="004D28BB">
        <w:rPr>
          <w:szCs w:val="22"/>
        </w:rPr>
        <w:t>his or her</w:t>
      </w:r>
      <w:r w:rsidRPr="000B485C">
        <w:rPr>
          <w:szCs w:val="22"/>
        </w:rPr>
        <w:t xml:space="preserve"> contribution is fully tax-deductible up to the maximum permitted contribution</w:t>
      </w:r>
      <w:r w:rsidR="004D28BB">
        <w:rPr>
          <w:szCs w:val="22"/>
        </w:rPr>
        <w:t>—regardless of the individual’s income level</w:t>
      </w:r>
      <w:r w:rsidRPr="000B485C">
        <w:rPr>
          <w:szCs w:val="22"/>
        </w:rPr>
        <w:t>.</w:t>
      </w:r>
      <w:r w:rsidR="00297ACB">
        <w:rPr>
          <w:szCs w:val="22"/>
        </w:rPr>
        <w:t xml:space="preserve">  </w:t>
      </w:r>
      <w:r w:rsidR="004D28BB">
        <w:rPr>
          <w:szCs w:val="22"/>
        </w:rPr>
        <w:t>Although an</w:t>
      </w:r>
      <w:r w:rsidRPr="000B485C">
        <w:rPr>
          <w:szCs w:val="22"/>
        </w:rPr>
        <w:t xml:space="preserve"> active participant is eligible to make a contribution, </w:t>
      </w:r>
      <w:r w:rsidR="004D28BB">
        <w:rPr>
          <w:szCs w:val="22"/>
        </w:rPr>
        <w:t>his or her contribution</w:t>
      </w:r>
      <w:r w:rsidRPr="000B485C">
        <w:rPr>
          <w:szCs w:val="22"/>
        </w:rPr>
        <w:t xml:space="preserve"> may or may not be deductible</w:t>
      </w:r>
      <w:r w:rsidR="004D28BB">
        <w:rPr>
          <w:szCs w:val="22"/>
        </w:rPr>
        <w:t xml:space="preserve"> or may </w:t>
      </w:r>
      <w:r w:rsidR="000927B1">
        <w:rPr>
          <w:szCs w:val="22"/>
        </w:rPr>
        <w:t xml:space="preserve">only </w:t>
      </w:r>
      <w:r w:rsidR="004D28BB">
        <w:rPr>
          <w:szCs w:val="22"/>
        </w:rPr>
        <w:t>be partially deductible.</w:t>
      </w:r>
    </w:p>
    <w:p w14:paraId="4FD662DC" w14:textId="77777777" w:rsidR="00DF4804" w:rsidRDefault="00DF4804" w:rsidP="00DF4804">
      <w:pPr>
        <w:pStyle w:val="Heading4"/>
      </w:pPr>
      <w:bookmarkStart w:id="26" w:name="_Toc404357144"/>
      <w:r>
        <w:t>Tax Treatment of Contributions by Active Participants</w:t>
      </w:r>
      <w:bookmarkEnd w:id="26"/>
    </w:p>
    <w:p w14:paraId="6E9B7CC4" w14:textId="77777777" w:rsidR="004D28BB" w:rsidRDefault="004D28BB" w:rsidP="00825E0B">
      <w:pPr>
        <w:rPr>
          <w:szCs w:val="22"/>
        </w:rPr>
      </w:pPr>
      <w:r>
        <w:rPr>
          <w:szCs w:val="22"/>
        </w:rPr>
        <w:t>There are three possibilities with respect to the tax deductibility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 made by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w:t>
      </w:r>
      <w:r w:rsidR="00297ACB">
        <w:rPr>
          <w:szCs w:val="22"/>
        </w:rPr>
        <w:t xml:space="preserve"> </w:t>
      </w:r>
      <w:r>
        <w:rPr>
          <w:szCs w:val="22"/>
        </w:rPr>
        <w:t>The traditional IRA contribution may be:</w:t>
      </w:r>
    </w:p>
    <w:p w14:paraId="5E0E6C27" w14:textId="77777777" w:rsidR="00C06FCB" w:rsidRDefault="004D28BB" w:rsidP="007A5E54">
      <w:pPr>
        <w:pStyle w:val="ListParagraph"/>
        <w:numPr>
          <w:ilvl w:val="0"/>
          <w:numId w:val="111"/>
        </w:numPr>
        <w:ind w:left="720"/>
      </w:pPr>
      <w:r w:rsidRPr="00534446">
        <w:t>Fully deductible</w:t>
      </w:r>
      <w:r w:rsidR="000E1047" w:rsidRPr="00534446">
        <w:t>, or</w:t>
      </w:r>
    </w:p>
    <w:p w14:paraId="6A58053C" w14:textId="77777777" w:rsidR="00C06FCB" w:rsidRDefault="004D28BB" w:rsidP="007A5E54">
      <w:pPr>
        <w:pStyle w:val="ListParagraph"/>
        <w:numPr>
          <w:ilvl w:val="0"/>
          <w:numId w:val="111"/>
        </w:numPr>
        <w:ind w:left="720"/>
      </w:pPr>
      <w:r w:rsidRPr="00534446">
        <w:t>Partially deductible</w:t>
      </w:r>
      <w:r w:rsidR="000E1047" w:rsidRPr="00534446">
        <w:t xml:space="preserve">, </w:t>
      </w:r>
      <w:r w:rsidRPr="00534446">
        <w:t>or</w:t>
      </w:r>
    </w:p>
    <w:p w14:paraId="4DCDAC4F" w14:textId="77777777" w:rsidR="00C06FCB" w:rsidRDefault="004D28BB" w:rsidP="007A5E54">
      <w:pPr>
        <w:pStyle w:val="ListParagraph"/>
        <w:numPr>
          <w:ilvl w:val="0"/>
          <w:numId w:val="111"/>
        </w:numPr>
        <w:ind w:left="720"/>
      </w:pPr>
      <w:r w:rsidRPr="00534446">
        <w:t>Not deductible</w:t>
      </w:r>
    </w:p>
    <w:p w14:paraId="6658208C" w14:textId="77777777" w:rsidR="004D28BB" w:rsidRDefault="004D28BB" w:rsidP="00825E0B">
      <w:pPr>
        <w:rPr>
          <w:szCs w:val="22"/>
        </w:rPr>
      </w:pPr>
      <w:r>
        <w:rPr>
          <w:szCs w:val="22"/>
        </w:rPr>
        <w:t xml:space="preserve">The tax status of </w:t>
      </w:r>
      <w:r w:rsidR="005A5201">
        <w:rPr>
          <w:szCs w:val="22"/>
        </w:rPr>
        <w:t>a</w:t>
      </w:r>
      <w:r>
        <w:rPr>
          <w:szCs w:val="22"/>
        </w:rPr>
        <w:t xml:space="preserv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 for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depends entirely on his or her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C20C54">
        <w:rPr>
          <w:szCs w:val="22"/>
        </w:rPr>
        <w:t xml:space="preserve"> and </w:t>
      </w:r>
      <w:r w:rsidR="005A5201">
        <w:rPr>
          <w:szCs w:val="22"/>
        </w:rPr>
        <w:t xml:space="preserve">income tax </w:t>
      </w:r>
      <w:r w:rsidR="00C20C54">
        <w:rPr>
          <w:szCs w:val="22"/>
        </w:rPr>
        <w:t>filing status</w:t>
      </w:r>
      <w:r>
        <w:rPr>
          <w:szCs w:val="22"/>
        </w:rPr>
        <w:t>.</w:t>
      </w:r>
    </w:p>
    <w:p w14:paraId="5DE5907F" w14:textId="77777777" w:rsidR="00C20C54" w:rsidRDefault="00C20C54" w:rsidP="007B0176">
      <w:pPr>
        <w:spacing w:before="120"/>
        <w:rPr>
          <w:szCs w:val="22"/>
        </w:rPr>
      </w:pPr>
      <w:r>
        <w:rPr>
          <w:szCs w:val="22"/>
        </w:rPr>
        <w:t>The reduction of the deductible amount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w:t>
      </w:r>
      <w:r w:rsidR="00BA4049">
        <w:rPr>
          <w:szCs w:val="22"/>
        </w:rPr>
        <w:t xml:space="preserve"> for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00BA4049">
        <w:rPr>
          <w:szCs w:val="22"/>
        </w:rPr>
        <w:t xml:space="preserve"> filing a </w:t>
      </w:r>
      <w:r w:rsidR="00BA4049" w:rsidRPr="00BA4049">
        <w:rPr>
          <w:i/>
          <w:szCs w:val="22"/>
        </w:rPr>
        <w:t>single or head-of-household</w:t>
      </w:r>
      <w:r w:rsidR="00BA4049">
        <w:rPr>
          <w:szCs w:val="22"/>
        </w:rPr>
        <w:t xml:space="preserve"> federal tax return</w:t>
      </w:r>
      <w:r>
        <w:rPr>
          <w:szCs w:val="22"/>
        </w:rPr>
        <w:t xml:space="preserve"> is determined by using the following formula:</w:t>
      </w:r>
    </w:p>
    <w:tbl>
      <w:tblPr>
        <w:tblW w:w="0" w:type="auto"/>
        <w:jc w:val="center"/>
        <w:tblLook w:val="01E0" w:firstRow="1" w:lastRow="1" w:firstColumn="1" w:lastColumn="1" w:noHBand="0" w:noVBand="0"/>
      </w:tblPr>
      <w:tblGrid>
        <w:gridCol w:w="2393"/>
        <w:gridCol w:w="333"/>
        <w:gridCol w:w="2088"/>
        <w:gridCol w:w="330"/>
        <w:gridCol w:w="3353"/>
      </w:tblGrid>
      <w:tr w:rsidR="00042365" w:rsidRPr="006D389B" w14:paraId="6A1E571A" w14:textId="77777777" w:rsidTr="006D389B">
        <w:trPr>
          <w:jc w:val="center"/>
        </w:trPr>
        <w:tc>
          <w:tcPr>
            <w:tcW w:w="2393" w:type="dxa"/>
          </w:tcPr>
          <w:p w14:paraId="4AE538B8" w14:textId="77777777" w:rsidR="00C20C54" w:rsidRPr="004C031C" w:rsidRDefault="00C20C54" w:rsidP="007B0176">
            <w:pPr>
              <w:pStyle w:val="wTableNormal"/>
              <w:spacing w:before="120" w:after="120"/>
            </w:pPr>
            <w:r w:rsidRPr="004C031C">
              <w:t>Reduction</w:t>
            </w:r>
            <w:r w:rsidR="00042365">
              <w:t xml:space="preserve"> </w:t>
            </w:r>
            <w:r w:rsidR="00861ABF" w:rsidRPr="004C031C">
              <w:t>of</w:t>
            </w:r>
            <w:r w:rsidR="00042365">
              <w:t xml:space="preserve"> </w:t>
            </w:r>
            <w:r w:rsidRPr="004C031C">
              <w:t>Deduction</w:t>
            </w:r>
          </w:p>
        </w:tc>
        <w:tc>
          <w:tcPr>
            <w:tcW w:w="333" w:type="dxa"/>
          </w:tcPr>
          <w:p w14:paraId="56BDC9DA" w14:textId="77777777" w:rsidR="00C20C54" w:rsidRPr="004C031C" w:rsidRDefault="00C20C54" w:rsidP="007B0176">
            <w:pPr>
              <w:pStyle w:val="wTableNormal"/>
              <w:spacing w:before="120" w:after="120"/>
              <w:jc w:val="center"/>
            </w:pPr>
            <w:r w:rsidRPr="004C031C">
              <w:t>=</w:t>
            </w:r>
          </w:p>
        </w:tc>
        <w:tc>
          <w:tcPr>
            <w:tcW w:w="2088" w:type="dxa"/>
          </w:tcPr>
          <w:p w14:paraId="49F59653" w14:textId="77777777" w:rsidR="00C20C54" w:rsidRPr="004C031C" w:rsidRDefault="00C20C54" w:rsidP="007B0176">
            <w:pPr>
              <w:pStyle w:val="wTableNormal"/>
              <w:spacing w:before="120" w:after="120"/>
              <w:jc w:val="center"/>
            </w:pPr>
            <w:r w:rsidRPr="004C031C">
              <w:t xml:space="preserve">Maximum </w:t>
            </w:r>
            <w:r w:rsidR="00202A5D">
              <w:t>contribution</w:t>
            </w:r>
          </w:p>
        </w:tc>
        <w:tc>
          <w:tcPr>
            <w:tcW w:w="330" w:type="dxa"/>
          </w:tcPr>
          <w:p w14:paraId="6D94B7BB" w14:textId="77777777" w:rsidR="00C20C54" w:rsidRPr="004C031C" w:rsidRDefault="00042365" w:rsidP="007B0176">
            <w:pPr>
              <w:pStyle w:val="wTableNormal"/>
              <w:spacing w:before="120" w:after="120"/>
            </w:pPr>
            <w:r>
              <w:t>x</w:t>
            </w:r>
          </w:p>
        </w:tc>
        <w:tc>
          <w:tcPr>
            <w:tcW w:w="3353" w:type="dxa"/>
          </w:tcPr>
          <w:p w14:paraId="7D596901" w14:textId="77777777" w:rsidR="00C20C54" w:rsidRPr="004C031C" w:rsidRDefault="00C20C54" w:rsidP="007B0176">
            <w:pPr>
              <w:pStyle w:val="wTableNormal"/>
              <w:spacing w:before="120" w:after="120"/>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r w:rsidR="00042365">
              <w:br/>
            </w:r>
            <w:r w:rsidRPr="004C031C">
              <w:t>$10,000</w:t>
            </w:r>
          </w:p>
        </w:tc>
      </w:tr>
    </w:tbl>
    <w:p w14:paraId="29007782" w14:textId="77777777" w:rsidR="006B07D7" w:rsidRDefault="006B07D7" w:rsidP="007B0176">
      <w:pPr>
        <w:spacing w:before="120"/>
        <w:rPr>
          <w:szCs w:val="22"/>
        </w:rPr>
      </w:pPr>
      <w:r>
        <w:rPr>
          <w:szCs w:val="22"/>
        </w:rPr>
        <w:t>The reduction of the deductible amount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 for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filing a </w:t>
      </w:r>
      <w:r w:rsidRPr="006B07D7">
        <w:rPr>
          <w:i/>
          <w:szCs w:val="22"/>
        </w:rPr>
        <w:t xml:space="preserve">joint </w:t>
      </w:r>
      <w:r>
        <w:rPr>
          <w:szCs w:val="22"/>
        </w:rPr>
        <w:t>federal tax return is determined by using the following formula:</w:t>
      </w:r>
    </w:p>
    <w:tbl>
      <w:tblPr>
        <w:tblW w:w="0" w:type="auto"/>
        <w:jc w:val="center"/>
        <w:tblLook w:val="01E0" w:firstRow="1" w:lastRow="1" w:firstColumn="1" w:lastColumn="1" w:noHBand="0" w:noVBand="0"/>
      </w:tblPr>
      <w:tblGrid>
        <w:gridCol w:w="2393"/>
        <w:gridCol w:w="333"/>
        <w:gridCol w:w="2088"/>
        <w:gridCol w:w="330"/>
        <w:gridCol w:w="3353"/>
      </w:tblGrid>
      <w:tr w:rsidR="006B07D7" w:rsidRPr="006D389B" w14:paraId="0BC0E59E" w14:textId="77777777" w:rsidTr="006D389B">
        <w:trPr>
          <w:jc w:val="center"/>
        </w:trPr>
        <w:tc>
          <w:tcPr>
            <w:tcW w:w="2393" w:type="dxa"/>
          </w:tcPr>
          <w:p w14:paraId="11F581C2" w14:textId="77777777" w:rsidR="006B07D7" w:rsidRPr="004C031C" w:rsidRDefault="006B07D7" w:rsidP="007B0176">
            <w:pPr>
              <w:pStyle w:val="wTableNormal"/>
              <w:spacing w:before="120" w:after="120"/>
            </w:pPr>
            <w:r w:rsidRPr="004C031C">
              <w:t>Reduction</w:t>
            </w:r>
            <w:r>
              <w:t xml:space="preserve"> </w:t>
            </w:r>
            <w:r w:rsidRPr="004C031C">
              <w:t>of</w:t>
            </w:r>
            <w:r>
              <w:t xml:space="preserve"> </w:t>
            </w:r>
            <w:r w:rsidRPr="004C031C">
              <w:t>Deduction</w:t>
            </w:r>
          </w:p>
        </w:tc>
        <w:tc>
          <w:tcPr>
            <w:tcW w:w="333" w:type="dxa"/>
          </w:tcPr>
          <w:p w14:paraId="127FA68D" w14:textId="77777777" w:rsidR="006B07D7" w:rsidRPr="004C031C" w:rsidRDefault="006B07D7" w:rsidP="007B0176">
            <w:pPr>
              <w:pStyle w:val="wTableNormal"/>
              <w:spacing w:before="120" w:after="120"/>
              <w:jc w:val="center"/>
            </w:pPr>
            <w:r w:rsidRPr="004C031C">
              <w:t>=</w:t>
            </w:r>
          </w:p>
        </w:tc>
        <w:tc>
          <w:tcPr>
            <w:tcW w:w="2088" w:type="dxa"/>
          </w:tcPr>
          <w:p w14:paraId="4625361B" w14:textId="77777777" w:rsidR="006B07D7" w:rsidRPr="004C031C" w:rsidRDefault="006B07D7" w:rsidP="007B0176">
            <w:pPr>
              <w:pStyle w:val="wTableNormal"/>
              <w:spacing w:before="120" w:after="120"/>
              <w:jc w:val="center"/>
            </w:pPr>
            <w:r w:rsidRPr="004C031C">
              <w:t xml:space="preserve">Maximum </w:t>
            </w:r>
            <w:r w:rsidR="00202A5D">
              <w:t>contribution</w:t>
            </w:r>
          </w:p>
        </w:tc>
        <w:tc>
          <w:tcPr>
            <w:tcW w:w="330" w:type="dxa"/>
          </w:tcPr>
          <w:p w14:paraId="1C997D35" w14:textId="77777777" w:rsidR="006B07D7" w:rsidRPr="004C031C" w:rsidRDefault="006B07D7" w:rsidP="007B0176">
            <w:pPr>
              <w:pStyle w:val="wTableNormal"/>
              <w:spacing w:before="120" w:after="120"/>
            </w:pPr>
            <w:r>
              <w:t>x</w:t>
            </w:r>
          </w:p>
        </w:tc>
        <w:tc>
          <w:tcPr>
            <w:tcW w:w="3353" w:type="dxa"/>
          </w:tcPr>
          <w:p w14:paraId="47651419" w14:textId="77777777" w:rsidR="006B07D7" w:rsidRPr="004C031C" w:rsidRDefault="006B07D7" w:rsidP="007B0176">
            <w:pPr>
              <w:pStyle w:val="wTableNormal"/>
              <w:spacing w:before="120" w:after="120"/>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r>
              <w:br/>
            </w:r>
            <w:r w:rsidRPr="004C031C">
              <w:t>$</w:t>
            </w:r>
            <w:r>
              <w:t>2</w:t>
            </w:r>
            <w:r w:rsidRPr="004C031C">
              <w:t>0,000</w:t>
            </w:r>
          </w:p>
        </w:tc>
      </w:tr>
    </w:tbl>
    <w:p w14:paraId="02358C69" w14:textId="77777777" w:rsidR="006B07D7" w:rsidRDefault="006B07D7" w:rsidP="007B0176">
      <w:pPr>
        <w:spacing w:before="120"/>
        <w:rPr>
          <w:szCs w:val="22"/>
        </w:rPr>
      </w:pPr>
      <w:r>
        <w:rPr>
          <w:szCs w:val="22"/>
        </w:rPr>
        <w:t>(Note: The difference between the two formulas shown above is in the denominator of the fraction. For active participants filing single or head-of-household federal tax returns, the denominator is $10,000; for active participants filing a joint federal tax return, it is $20,000.)</w:t>
      </w:r>
    </w:p>
    <w:p w14:paraId="5B58397C" w14:textId="77777777" w:rsidR="0072210F" w:rsidRDefault="005717D9" w:rsidP="00825E0B">
      <w:pPr>
        <w:rPr>
          <w:szCs w:val="22"/>
        </w:rPr>
      </w:pPr>
      <w:r>
        <w:rPr>
          <w:szCs w:val="22"/>
        </w:rPr>
        <w:t xml:space="preserve">The </w:t>
      </w:r>
      <w:r w:rsidR="00297ACB">
        <w:rPr>
          <w:szCs w:val="22"/>
        </w:rPr>
        <w:t>“</w:t>
      </w:r>
      <w:r>
        <w:rPr>
          <w:szCs w:val="22"/>
        </w:rPr>
        <w:t>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sidR="00297ACB">
        <w:rPr>
          <w:szCs w:val="22"/>
        </w:rPr>
        <w:t>”</w:t>
      </w:r>
      <w:r>
        <w:rPr>
          <w:szCs w:val="22"/>
        </w:rPr>
        <w:t xml:space="preserve"> </w:t>
      </w:r>
      <w:r w:rsidR="0072210F">
        <w:rPr>
          <w:szCs w:val="22"/>
        </w:rPr>
        <w:t xml:space="preserve">that must be used </w:t>
      </w:r>
      <w:r>
        <w:rPr>
          <w:szCs w:val="22"/>
        </w:rPr>
        <w:t>in the above formula</w:t>
      </w:r>
      <w:r w:rsidR="0072210F">
        <w:rPr>
          <w:szCs w:val="22"/>
        </w:rPr>
        <w:t xml:space="preserve"> depends on:</w:t>
      </w:r>
    </w:p>
    <w:p w14:paraId="62A243BB" w14:textId="77777777" w:rsidR="00C06FCB" w:rsidRDefault="0072210F" w:rsidP="007A5E54">
      <w:pPr>
        <w:pStyle w:val="ListParagraph"/>
        <w:numPr>
          <w:ilvl w:val="0"/>
          <w:numId w:val="112"/>
        </w:numPr>
        <w:ind w:left="720"/>
      </w:pPr>
      <w:r w:rsidRPr="00042365">
        <w:t>The tax year</w:t>
      </w:r>
      <w:r w:rsidR="00042365" w:rsidRPr="00042365">
        <w:t xml:space="preserve">, </w:t>
      </w:r>
      <w:r w:rsidRPr="00042365">
        <w:t>and</w:t>
      </w:r>
    </w:p>
    <w:p w14:paraId="060D4D2E" w14:textId="77777777" w:rsidR="00C06FCB" w:rsidRDefault="0072210F" w:rsidP="007A5E54">
      <w:pPr>
        <w:pStyle w:val="ListParagraph"/>
        <w:numPr>
          <w:ilvl w:val="0"/>
          <w:numId w:val="112"/>
        </w:numPr>
        <w:ind w:left="720"/>
      </w:pPr>
      <w:r w:rsidRPr="00042365">
        <w:t>The individual’s tax filing status</w:t>
      </w:r>
    </w:p>
    <w:p w14:paraId="475694EF" w14:textId="77777777" w:rsidR="0072210F" w:rsidRDefault="0072210F" w:rsidP="007B0176">
      <w:pPr>
        <w:spacing w:after="0"/>
        <w:rPr>
          <w:szCs w:val="22"/>
        </w:rPr>
      </w:pPr>
      <w:r>
        <w:rPr>
          <w:szCs w:val="22"/>
        </w:rPr>
        <w:lastRenderedPageBreak/>
        <w:t>If the individual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Pr>
          <w:szCs w:val="22"/>
        </w:rPr>
        <w:t xml:space="preserve"> and files his or her federal income tax return as single or head-of-household, the 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Pr>
          <w:szCs w:val="22"/>
        </w:rPr>
        <w:t xml:space="preserve"> </w:t>
      </w:r>
      <w:r w:rsidR="00947114">
        <w:rPr>
          <w:szCs w:val="22"/>
        </w:rPr>
        <w:t xml:space="preserve">for </w:t>
      </w:r>
      <w:r w:rsidR="003517C4">
        <w:rPr>
          <w:szCs w:val="22"/>
        </w:rPr>
        <w:t>20</w:t>
      </w:r>
      <w:r w:rsidR="00FF052F">
        <w:rPr>
          <w:szCs w:val="22"/>
        </w:rPr>
        <w:t>1</w:t>
      </w:r>
      <w:r w:rsidR="008472E0">
        <w:rPr>
          <w:szCs w:val="22"/>
        </w:rPr>
        <w:t>5</w:t>
      </w:r>
      <w:r w:rsidR="003517C4">
        <w:rPr>
          <w:szCs w:val="22"/>
        </w:rPr>
        <w:t xml:space="preserve"> is $</w:t>
      </w:r>
      <w:r w:rsidR="005A5201">
        <w:rPr>
          <w:szCs w:val="22"/>
        </w:rPr>
        <w:t>6</w:t>
      </w:r>
      <w:r w:rsidR="008472E0">
        <w:rPr>
          <w:szCs w:val="22"/>
        </w:rPr>
        <w:t>1</w:t>
      </w:r>
      <w:r w:rsidR="003517C4">
        <w:rPr>
          <w:szCs w:val="22"/>
        </w:rPr>
        <w:t>,000.</w:t>
      </w:r>
      <w:r w:rsidR="007B0176">
        <w:rPr>
          <w:szCs w:val="22"/>
        </w:rPr>
        <w:t xml:space="preserve"> </w:t>
      </w:r>
      <w:r>
        <w:rPr>
          <w:szCs w:val="22"/>
        </w:rPr>
        <w:t>Let’s apply the formula to a hypothetical, but real-life, situation to see how it works.</w:t>
      </w:r>
    </w:p>
    <w:p w14:paraId="5F9C69A4" w14:textId="77777777" w:rsidR="00BE502B" w:rsidRDefault="00764017" w:rsidP="007B0176">
      <w:pPr>
        <w:spacing w:before="120"/>
        <w:rPr>
          <w:szCs w:val="22"/>
        </w:rPr>
      </w:pPr>
      <w:r>
        <w:rPr>
          <w:szCs w:val="22"/>
        </w:rPr>
        <w:t xml:space="preserve">Suppose that a </w:t>
      </w:r>
      <w:r w:rsidR="00202A5D">
        <w:rPr>
          <w:szCs w:val="22"/>
        </w:rPr>
        <w:t xml:space="preserve">40 year-old </w:t>
      </w:r>
      <w:r>
        <w:rPr>
          <w:szCs w:val="22"/>
        </w:rPr>
        <w:t>client, John Burns, is a single man who ha</w:t>
      </w:r>
      <w:r w:rsidR="00BF7AE3">
        <w:rPr>
          <w:szCs w:val="22"/>
        </w:rPr>
        <w:t>s an adjusted</w:t>
      </w:r>
      <w:r w:rsidR="005842D4">
        <w:rPr>
          <w:szCs w:val="22"/>
        </w:rPr>
        <w:t xml:space="preserve">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5842D4">
        <w:rPr>
          <w:szCs w:val="22"/>
        </w:rPr>
        <w:t xml:space="preserve"> of </w:t>
      </w:r>
      <w:r w:rsidR="008106E1">
        <w:rPr>
          <w:szCs w:val="22"/>
        </w:rPr>
        <w:t>$</w:t>
      </w:r>
      <w:r w:rsidR="00202A5D">
        <w:rPr>
          <w:szCs w:val="22"/>
        </w:rPr>
        <w:t>6</w:t>
      </w:r>
      <w:r w:rsidR="008472E0">
        <w:rPr>
          <w:szCs w:val="22"/>
        </w:rPr>
        <w:t>4</w:t>
      </w:r>
      <w:r w:rsidR="008106E1">
        <w:rPr>
          <w:szCs w:val="22"/>
        </w:rPr>
        <w:t>,000 in 20</w:t>
      </w:r>
      <w:r w:rsidR="00FF052F">
        <w:rPr>
          <w:szCs w:val="22"/>
        </w:rPr>
        <w:t>1</w:t>
      </w:r>
      <w:r w:rsidR="008472E0">
        <w:rPr>
          <w:szCs w:val="22"/>
        </w:rPr>
        <w:t>5</w:t>
      </w:r>
      <w:r>
        <w:rPr>
          <w:szCs w:val="22"/>
        </w:rPr>
        <w:t>.</w:t>
      </w:r>
      <w:r w:rsidR="00297ACB">
        <w:rPr>
          <w:szCs w:val="22"/>
        </w:rPr>
        <w:t xml:space="preserve"> </w:t>
      </w:r>
      <w:r>
        <w:rPr>
          <w:szCs w:val="22"/>
        </w:rPr>
        <w:t>Since he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his employer’s pension plan, he wants to determine how much of the </w:t>
      </w:r>
      <w:r w:rsidRPr="00453314">
        <w:rPr>
          <w:szCs w:val="22"/>
        </w:rPr>
        <w:t>maximum IRA deductible amount</w:t>
      </w:r>
      <w:r>
        <w:rPr>
          <w:szCs w:val="22"/>
        </w:rPr>
        <w:t xml:space="preserve"> he qualifies for.</w:t>
      </w:r>
      <w:r w:rsidR="00297ACB">
        <w:rPr>
          <w:szCs w:val="22"/>
        </w:rPr>
        <w:t xml:space="preserve"> </w:t>
      </w:r>
      <w:r>
        <w:rPr>
          <w:szCs w:val="22"/>
        </w:rPr>
        <w:t>By substituting the appropriate numbers in the formula, we can see that his m</w:t>
      </w:r>
      <w:r w:rsidR="001B5829">
        <w:rPr>
          <w:szCs w:val="22"/>
        </w:rPr>
        <w:t>aximum deductible amount is $</w:t>
      </w:r>
      <w:r w:rsidR="000F59C5">
        <w:rPr>
          <w:szCs w:val="22"/>
        </w:rPr>
        <w:t>3,</w:t>
      </w:r>
      <w:r w:rsidR="00B627DE">
        <w:rPr>
          <w:szCs w:val="22"/>
        </w:rPr>
        <w:t>8</w:t>
      </w:r>
      <w:r w:rsidR="000F59C5">
        <w:rPr>
          <w:szCs w:val="22"/>
        </w:rPr>
        <w:t>50</w:t>
      </w:r>
      <w:r>
        <w:rPr>
          <w:szCs w:val="22"/>
        </w:rPr>
        <w:t>.</w:t>
      </w:r>
      <w:r w:rsidR="00297ACB">
        <w:rPr>
          <w:szCs w:val="22"/>
        </w:rPr>
        <w:t xml:space="preserve"> </w:t>
      </w:r>
      <w:r>
        <w:rPr>
          <w:szCs w:val="22"/>
        </w:rPr>
        <w:t>The formula is as follows:</w:t>
      </w:r>
    </w:p>
    <w:tbl>
      <w:tblPr>
        <w:tblW w:w="0" w:type="auto"/>
        <w:jc w:val="center"/>
        <w:tblLayout w:type="fixed"/>
        <w:tblLook w:val="01E0" w:firstRow="1" w:lastRow="1" w:firstColumn="1" w:lastColumn="1" w:noHBand="0" w:noVBand="0"/>
      </w:tblPr>
      <w:tblGrid>
        <w:gridCol w:w="2308"/>
        <w:gridCol w:w="330"/>
        <w:gridCol w:w="2231"/>
        <w:gridCol w:w="270"/>
        <w:gridCol w:w="3339"/>
      </w:tblGrid>
      <w:tr w:rsidR="00764017" w:rsidRPr="006D389B" w14:paraId="651DC5B4" w14:textId="77777777" w:rsidTr="00202A5D">
        <w:trPr>
          <w:jc w:val="center"/>
        </w:trPr>
        <w:tc>
          <w:tcPr>
            <w:tcW w:w="2308" w:type="dxa"/>
          </w:tcPr>
          <w:p w14:paraId="0E8DAA19" w14:textId="77777777" w:rsidR="00764017" w:rsidRPr="00534446" w:rsidRDefault="00534446" w:rsidP="006D389B">
            <w:pPr>
              <w:pStyle w:val="wTableNormal"/>
              <w:spacing w:before="160"/>
            </w:pPr>
            <w:r w:rsidRPr="00534446">
              <w:br w:type="page"/>
            </w:r>
            <w:r w:rsidR="00764017" w:rsidRPr="00534446">
              <w:t>Reduction</w:t>
            </w:r>
            <w:r w:rsidRPr="00534446">
              <w:t xml:space="preserve"> o</w:t>
            </w:r>
            <w:r w:rsidR="00453314" w:rsidRPr="00534446">
              <w:t>f</w:t>
            </w:r>
            <w:r w:rsidRPr="00534446">
              <w:t xml:space="preserve"> </w:t>
            </w:r>
            <w:r w:rsidR="00764017" w:rsidRPr="00534446">
              <w:t>Deduction</w:t>
            </w:r>
          </w:p>
        </w:tc>
        <w:tc>
          <w:tcPr>
            <w:tcW w:w="330" w:type="dxa"/>
          </w:tcPr>
          <w:p w14:paraId="6BC33BAC" w14:textId="77777777" w:rsidR="00764017" w:rsidRPr="00534446" w:rsidRDefault="00764017" w:rsidP="006D389B">
            <w:pPr>
              <w:pStyle w:val="wTableNormal"/>
              <w:spacing w:before="160"/>
            </w:pPr>
            <w:r w:rsidRPr="00534446">
              <w:t>=</w:t>
            </w:r>
          </w:p>
        </w:tc>
        <w:tc>
          <w:tcPr>
            <w:tcW w:w="2231" w:type="dxa"/>
          </w:tcPr>
          <w:p w14:paraId="3BD53756" w14:textId="77777777" w:rsidR="00764017" w:rsidRPr="00534446" w:rsidRDefault="00764017" w:rsidP="00202A5D">
            <w:pPr>
              <w:pStyle w:val="wTableNormal"/>
              <w:spacing w:before="160"/>
            </w:pPr>
            <w:r w:rsidRPr="00534446">
              <w:t xml:space="preserve">Maximum </w:t>
            </w:r>
            <w:r w:rsidR="00202A5D">
              <w:t>contribution</w:t>
            </w:r>
          </w:p>
        </w:tc>
        <w:tc>
          <w:tcPr>
            <w:tcW w:w="270" w:type="dxa"/>
          </w:tcPr>
          <w:p w14:paraId="7DB8AFD6" w14:textId="77777777" w:rsidR="00764017" w:rsidRPr="00534446" w:rsidRDefault="00534446" w:rsidP="006D389B">
            <w:pPr>
              <w:pStyle w:val="wTableNormal"/>
              <w:spacing w:before="160"/>
            </w:pPr>
            <w:r w:rsidRPr="00534446">
              <w:t>x</w:t>
            </w:r>
          </w:p>
        </w:tc>
        <w:tc>
          <w:tcPr>
            <w:tcW w:w="3339" w:type="dxa"/>
          </w:tcPr>
          <w:p w14:paraId="313E9D87" w14:textId="77777777" w:rsidR="00764017" w:rsidRPr="006D389B" w:rsidRDefault="007A6E0D" w:rsidP="006D389B">
            <w:pPr>
              <w:pStyle w:val="wTableNormal"/>
              <w:jc w:val="center"/>
              <w:rPr>
                <w:u w:val="single"/>
              </w:rPr>
            </w:pPr>
            <w:r w:rsidRPr="006D389B">
              <w:rPr>
                <w:u w:val="single"/>
              </w:rPr>
              <w:t xml:space="preserve">AGI – applicable dollar </w:t>
            </w:r>
            <w:r w:rsidR="00764017" w:rsidRPr="006D389B">
              <w:rPr>
                <w:u w:val="single"/>
              </w:rPr>
              <w:t>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4A2E1664" w14:textId="77777777" w:rsidR="00764017" w:rsidRPr="00534446" w:rsidRDefault="00764017" w:rsidP="006D389B">
            <w:pPr>
              <w:pStyle w:val="wTableNormal"/>
              <w:jc w:val="center"/>
            </w:pPr>
            <w:r w:rsidRPr="00534446">
              <w:t>$10,000</w:t>
            </w:r>
          </w:p>
        </w:tc>
      </w:tr>
    </w:tbl>
    <w:p w14:paraId="42368041" w14:textId="77777777" w:rsidR="00764017" w:rsidRDefault="00764017" w:rsidP="005F79D8">
      <w:pPr>
        <w:spacing w:after="0"/>
        <w:jc w:val="both"/>
        <w:rPr>
          <w:szCs w:val="22"/>
        </w:rPr>
      </w:pPr>
    </w:p>
    <w:tbl>
      <w:tblPr>
        <w:tblW w:w="0" w:type="auto"/>
        <w:jc w:val="center"/>
        <w:tblLayout w:type="fixed"/>
        <w:tblLook w:val="01E0" w:firstRow="1" w:lastRow="1" w:firstColumn="1" w:lastColumn="1" w:noHBand="0" w:noVBand="0"/>
      </w:tblPr>
      <w:tblGrid>
        <w:gridCol w:w="1040"/>
        <w:gridCol w:w="236"/>
        <w:gridCol w:w="974"/>
        <w:gridCol w:w="236"/>
        <w:gridCol w:w="2213"/>
      </w:tblGrid>
      <w:tr w:rsidR="00534446" w:rsidRPr="00534446" w14:paraId="4ABB3C90" w14:textId="77777777" w:rsidTr="00B627DE">
        <w:trPr>
          <w:jc w:val="center"/>
        </w:trPr>
        <w:tc>
          <w:tcPr>
            <w:tcW w:w="1040" w:type="dxa"/>
          </w:tcPr>
          <w:p w14:paraId="3FE30CBD" w14:textId="77777777" w:rsidR="00534446" w:rsidRPr="00534446" w:rsidRDefault="001B5829" w:rsidP="00B627DE">
            <w:pPr>
              <w:pStyle w:val="wTableNormal"/>
              <w:spacing w:before="160"/>
            </w:pPr>
            <w:r>
              <w:t>$</w:t>
            </w:r>
            <w:r w:rsidR="000F59C5">
              <w:t>1</w:t>
            </w:r>
            <w:r>
              <w:t>,</w:t>
            </w:r>
            <w:r w:rsidR="00B627DE">
              <w:t>6</w:t>
            </w:r>
            <w:r w:rsidR="000F59C5">
              <w:t>5</w:t>
            </w:r>
            <w:r w:rsidR="00534446" w:rsidRPr="00534446">
              <w:t>0</w:t>
            </w:r>
          </w:p>
        </w:tc>
        <w:tc>
          <w:tcPr>
            <w:tcW w:w="236" w:type="dxa"/>
          </w:tcPr>
          <w:p w14:paraId="046C814F" w14:textId="77777777" w:rsidR="00534446" w:rsidRPr="00534446" w:rsidRDefault="00534446" w:rsidP="006D389B">
            <w:pPr>
              <w:pStyle w:val="wTableNormal"/>
              <w:spacing w:before="160"/>
            </w:pPr>
            <w:r w:rsidRPr="00534446">
              <w:t>=</w:t>
            </w:r>
          </w:p>
        </w:tc>
        <w:tc>
          <w:tcPr>
            <w:tcW w:w="974" w:type="dxa"/>
          </w:tcPr>
          <w:p w14:paraId="51A97496" w14:textId="77777777" w:rsidR="00534446" w:rsidRPr="00534446" w:rsidRDefault="001B5829" w:rsidP="00B627DE">
            <w:pPr>
              <w:pStyle w:val="wTableNormal"/>
              <w:spacing w:before="160"/>
            </w:pPr>
            <w:r>
              <w:t>$</w:t>
            </w:r>
            <w:r w:rsidR="000F59C5">
              <w:t>5</w:t>
            </w:r>
            <w:r w:rsidR="00534446" w:rsidRPr="00534446">
              <w:t>,</w:t>
            </w:r>
            <w:r w:rsidR="00B627DE">
              <w:t>5</w:t>
            </w:r>
            <w:r w:rsidR="00534446" w:rsidRPr="00534446">
              <w:t>00</w:t>
            </w:r>
          </w:p>
        </w:tc>
        <w:tc>
          <w:tcPr>
            <w:tcW w:w="236" w:type="dxa"/>
          </w:tcPr>
          <w:p w14:paraId="6CEA83DE" w14:textId="77777777" w:rsidR="00534446" w:rsidRPr="00534446" w:rsidRDefault="00534446" w:rsidP="006D389B">
            <w:pPr>
              <w:pStyle w:val="wTableNormal"/>
              <w:spacing w:before="160"/>
            </w:pPr>
            <w:r w:rsidRPr="00534446">
              <w:t>x</w:t>
            </w:r>
          </w:p>
        </w:tc>
        <w:tc>
          <w:tcPr>
            <w:tcW w:w="2213" w:type="dxa"/>
          </w:tcPr>
          <w:p w14:paraId="7BD1D2A2" w14:textId="77777777" w:rsidR="00534446" w:rsidRPr="006D389B" w:rsidRDefault="00DB3B93" w:rsidP="006D389B">
            <w:pPr>
              <w:pStyle w:val="wTableNormal"/>
              <w:jc w:val="center"/>
              <w:rPr>
                <w:u w:val="single"/>
              </w:rPr>
            </w:pPr>
            <w:r w:rsidRPr="006D389B">
              <w:rPr>
                <w:u w:val="single"/>
              </w:rPr>
              <w:t>$</w:t>
            </w:r>
            <w:r w:rsidR="00202A5D">
              <w:rPr>
                <w:u w:val="single"/>
              </w:rPr>
              <w:t>6</w:t>
            </w:r>
            <w:r w:rsidR="00F054D1">
              <w:rPr>
                <w:u w:val="single"/>
              </w:rPr>
              <w:t>4</w:t>
            </w:r>
            <w:r w:rsidRPr="006D389B">
              <w:rPr>
                <w:u w:val="single"/>
              </w:rPr>
              <w:t xml:space="preserve">,000 – </w:t>
            </w:r>
            <w:r w:rsidR="005A5201">
              <w:rPr>
                <w:u w:val="single"/>
              </w:rPr>
              <w:t>6</w:t>
            </w:r>
            <w:r w:rsidR="00F054D1">
              <w:rPr>
                <w:u w:val="single"/>
              </w:rPr>
              <w:t>1</w:t>
            </w:r>
            <w:r w:rsidR="00534446" w:rsidRPr="006D389B">
              <w:rPr>
                <w:u w:val="single"/>
              </w:rPr>
              <w:t>,000</w:t>
            </w:r>
          </w:p>
          <w:p w14:paraId="3B8A7BC6" w14:textId="77777777" w:rsidR="00534446" w:rsidRPr="00534446" w:rsidRDefault="00534446" w:rsidP="006D389B">
            <w:pPr>
              <w:pStyle w:val="wTableNormal"/>
              <w:jc w:val="center"/>
            </w:pPr>
            <w:r w:rsidRPr="00534446">
              <w:t>$10,000</w:t>
            </w:r>
          </w:p>
        </w:tc>
      </w:tr>
    </w:tbl>
    <w:p w14:paraId="0C0F2DCB" w14:textId="77777777" w:rsidR="00C06FCB" w:rsidRDefault="00764017">
      <w:pPr>
        <w:rPr>
          <w:szCs w:val="22"/>
        </w:rPr>
      </w:pPr>
      <w:r>
        <w:rPr>
          <w:szCs w:val="22"/>
        </w:rPr>
        <w:t>Since the maxi</w:t>
      </w:r>
      <w:r w:rsidR="00BF7AE3">
        <w:rPr>
          <w:szCs w:val="22"/>
        </w:rPr>
        <w:t>mum pe</w:t>
      </w:r>
      <w:r w:rsidR="001B5829">
        <w:rPr>
          <w:szCs w:val="22"/>
        </w:rPr>
        <w:t xml:space="preserve">rmitted deduction for </w:t>
      </w:r>
      <w:r w:rsidR="000F59C5">
        <w:rPr>
          <w:szCs w:val="22"/>
        </w:rPr>
        <w:t>20</w:t>
      </w:r>
      <w:r w:rsidR="00FF052F">
        <w:rPr>
          <w:szCs w:val="22"/>
        </w:rPr>
        <w:t>1</w:t>
      </w:r>
      <w:r w:rsidR="00F054D1">
        <w:rPr>
          <w:szCs w:val="22"/>
        </w:rPr>
        <w:t>5</w:t>
      </w:r>
      <w:r w:rsidR="001B5829">
        <w:rPr>
          <w:szCs w:val="22"/>
        </w:rPr>
        <w:t xml:space="preserve"> is $</w:t>
      </w:r>
      <w:r w:rsidR="000F59C5">
        <w:rPr>
          <w:szCs w:val="22"/>
        </w:rPr>
        <w:t>5,</w:t>
      </w:r>
      <w:r w:rsidR="00B627DE">
        <w:rPr>
          <w:szCs w:val="22"/>
        </w:rPr>
        <w:t>5</w:t>
      </w:r>
      <w:r w:rsidR="000F59C5">
        <w:rPr>
          <w:szCs w:val="22"/>
        </w:rPr>
        <w:t>00</w:t>
      </w:r>
      <w:r>
        <w:rPr>
          <w:szCs w:val="22"/>
        </w:rPr>
        <w:t>, and the reduction d</w:t>
      </w:r>
      <w:r w:rsidR="00BF7AE3">
        <w:rPr>
          <w:szCs w:val="22"/>
        </w:rPr>
        <w:t>etermined by the formula is $</w:t>
      </w:r>
      <w:r w:rsidR="000F59C5">
        <w:rPr>
          <w:szCs w:val="22"/>
        </w:rPr>
        <w:t>1,</w:t>
      </w:r>
      <w:r w:rsidR="00B627DE">
        <w:rPr>
          <w:szCs w:val="22"/>
        </w:rPr>
        <w:t>6</w:t>
      </w:r>
      <w:r w:rsidR="000F59C5">
        <w:rPr>
          <w:szCs w:val="22"/>
        </w:rPr>
        <w:t>50</w:t>
      </w:r>
      <w:r>
        <w:rPr>
          <w:szCs w:val="22"/>
        </w:rPr>
        <w:t>, John’s permitted deduc</w:t>
      </w:r>
      <w:r w:rsidR="001B5829">
        <w:rPr>
          <w:szCs w:val="22"/>
        </w:rPr>
        <w:t>tion is simply the difference—$</w:t>
      </w:r>
      <w:r w:rsidR="000F59C5">
        <w:rPr>
          <w:szCs w:val="22"/>
        </w:rPr>
        <w:t>3,</w:t>
      </w:r>
      <w:r w:rsidR="00B627DE">
        <w:rPr>
          <w:szCs w:val="22"/>
        </w:rPr>
        <w:t>8</w:t>
      </w:r>
      <w:r w:rsidR="000F59C5">
        <w:rPr>
          <w:szCs w:val="22"/>
        </w:rPr>
        <w:t>50</w:t>
      </w:r>
      <w:r>
        <w:rPr>
          <w:szCs w:val="22"/>
        </w:rPr>
        <w:t>.</w:t>
      </w:r>
      <w:r w:rsidR="00297ACB">
        <w:rPr>
          <w:szCs w:val="22"/>
        </w:rPr>
        <w:t xml:space="preserve"> </w:t>
      </w:r>
      <w:r w:rsidR="001B5829">
        <w:rPr>
          <w:szCs w:val="22"/>
        </w:rPr>
        <w:t>($</w:t>
      </w:r>
      <w:r w:rsidR="000F59C5">
        <w:rPr>
          <w:szCs w:val="22"/>
        </w:rPr>
        <w:t>5</w:t>
      </w:r>
      <w:r>
        <w:rPr>
          <w:szCs w:val="22"/>
        </w:rPr>
        <w:t>,</w:t>
      </w:r>
      <w:r w:rsidR="00B627DE">
        <w:rPr>
          <w:szCs w:val="22"/>
        </w:rPr>
        <w:t>5</w:t>
      </w:r>
      <w:r>
        <w:rPr>
          <w:szCs w:val="22"/>
        </w:rPr>
        <w:t>00 - $</w:t>
      </w:r>
      <w:r w:rsidR="000F59C5">
        <w:rPr>
          <w:szCs w:val="22"/>
        </w:rPr>
        <w:t>1,</w:t>
      </w:r>
      <w:r w:rsidR="00B627DE">
        <w:rPr>
          <w:szCs w:val="22"/>
        </w:rPr>
        <w:t>6</w:t>
      </w:r>
      <w:r w:rsidR="000F59C5">
        <w:rPr>
          <w:szCs w:val="22"/>
        </w:rPr>
        <w:t>50</w:t>
      </w:r>
      <w:r w:rsidR="001B5829">
        <w:rPr>
          <w:szCs w:val="22"/>
        </w:rPr>
        <w:t xml:space="preserve"> = $</w:t>
      </w:r>
      <w:r w:rsidR="000F59C5">
        <w:rPr>
          <w:szCs w:val="22"/>
        </w:rPr>
        <w:t>3,</w:t>
      </w:r>
      <w:r w:rsidR="00B627DE">
        <w:rPr>
          <w:szCs w:val="22"/>
        </w:rPr>
        <w:t>8</w:t>
      </w:r>
      <w:r w:rsidR="000F59C5">
        <w:rPr>
          <w:szCs w:val="22"/>
        </w:rPr>
        <w:t>50</w:t>
      </w:r>
      <w:r>
        <w:rPr>
          <w:szCs w:val="22"/>
        </w:rPr>
        <w:t>)</w:t>
      </w:r>
      <w:r w:rsidR="00297ACB">
        <w:rPr>
          <w:szCs w:val="22"/>
        </w:rPr>
        <w:t xml:space="preserve"> </w:t>
      </w:r>
      <w:r w:rsidR="00861ABF">
        <w:rPr>
          <w:szCs w:val="22"/>
        </w:rPr>
        <w:t xml:space="preserve">Although John’s </w:t>
      </w:r>
      <w:r w:rsidR="00861ABF">
        <w:rPr>
          <w:i/>
          <w:szCs w:val="22"/>
        </w:rPr>
        <w:t>deduction</w:t>
      </w:r>
      <w:r w:rsidR="001B5829">
        <w:rPr>
          <w:szCs w:val="22"/>
        </w:rPr>
        <w:t xml:space="preserve"> is limited to $</w:t>
      </w:r>
      <w:r w:rsidR="000F59C5">
        <w:rPr>
          <w:szCs w:val="22"/>
        </w:rPr>
        <w:t>3,</w:t>
      </w:r>
      <w:r w:rsidR="00B627DE">
        <w:rPr>
          <w:szCs w:val="22"/>
        </w:rPr>
        <w:t>8</w:t>
      </w:r>
      <w:r w:rsidR="000F59C5">
        <w:rPr>
          <w:szCs w:val="22"/>
        </w:rPr>
        <w:t>50</w:t>
      </w:r>
      <w:r w:rsidR="00861ABF">
        <w:rPr>
          <w:szCs w:val="22"/>
        </w:rPr>
        <w:t>,</w:t>
      </w:r>
      <w:r w:rsidR="00BF7AE3">
        <w:rPr>
          <w:szCs w:val="22"/>
        </w:rPr>
        <w:t xml:space="preserve"> he may contribute</w:t>
      </w:r>
      <w:r w:rsidR="001B5829">
        <w:rPr>
          <w:szCs w:val="22"/>
        </w:rPr>
        <w:t xml:space="preserve"> the entire $</w:t>
      </w:r>
      <w:r w:rsidR="000F59C5">
        <w:rPr>
          <w:szCs w:val="22"/>
        </w:rPr>
        <w:t>5</w:t>
      </w:r>
      <w:r w:rsidR="001B5829">
        <w:rPr>
          <w:szCs w:val="22"/>
        </w:rPr>
        <w:t>,</w:t>
      </w:r>
      <w:r w:rsidR="00B627DE">
        <w:rPr>
          <w:szCs w:val="22"/>
        </w:rPr>
        <w:t>5</w:t>
      </w:r>
      <w:r w:rsidR="001B5829">
        <w:rPr>
          <w:szCs w:val="22"/>
        </w:rPr>
        <w:t>00</w:t>
      </w:r>
      <w:r w:rsidR="00F054D1">
        <w:rPr>
          <w:szCs w:val="22"/>
        </w:rPr>
        <w:t xml:space="preserve"> to a traditional IRA</w:t>
      </w:r>
      <w:r w:rsidR="001B5829">
        <w:rPr>
          <w:szCs w:val="22"/>
        </w:rPr>
        <w:t>; the additional $</w:t>
      </w:r>
      <w:r w:rsidR="000F59C5">
        <w:rPr>
          <w:szCs w:val="22"/>
        </w:rPr>
        <w:t>1,</w:t>
      </w:r>
      <w:r w:rsidR="00B627DE">
        <w:rPr>
          <w:szCs w:val="22"/>
        </w:rPr>
        <w:t>6</w:t>
      </w:r>
      <w:r w:rsidR="000F59C5">
        <w:rPr>
          <w:szCs w:val="22"/>
        </w:rPr>
        <w:t>50</w:t>
      </w:r>
      <w:r w:rsidR="00861ABF">
        <w:rPr>
          <w:szCs w:val="22"/>
        </w:rPr>
        <w:t>, however, is not deductible.</w:t>
      </w:r>
    </w:p>
    <w:tbl>
      <w:tblPr>
        <w:tblStyle w:val="TableGrid"/>
        <w:tblW w:w="0" w:type="auto"/>
        <w:tblInd w:w="1188" w:type="dxa"/>
        <w:tblLook w:val="04A0" w:firstRow="1" w:lastRow="0" w:firstColumn="1" w:lastColumn="0" w:noHBand="0" w:noVBand="1"/>
      </w:tblPr>
      <w:tblGrid>
        <w:gridCol w:w="6840"/>
      </w:tblGrid>
      <w:tr w:rsidR="005A5201" w14:paraId="1E6EC08A" w14:textId="77777777" w:rsidTr="005A5201">
        <w:tc>
          <w:tcPr>
            <w:tcW w:w="6840" w:type="dxa"/>
            <w:shd w:val="clear" w:color="auto" w:fill="B8CCE4" w:themeFill="accent1" w:themeFillTint="66"/>
          </w:tcPr>
          <w:p w14:paraId="3D5C712E" w14:textId="77777777" w:rsidR="005A5201" w:rsidRDefault="005A5201" w:rsidP="005A5201">
            <w:pPr>
              <w:jc w:val="center"/>
              <w:rPr>
                <w:szCs w:val="22"/>
              </w:rPr>
            </w:pPr>
            <w:r w:rsidRPr="00250B99">
              <w:rPr>
                <w:rFonts w:ascii="Arial" w:hAnsi="Arial" w:cs="Arial"/>
                <w:b/>
                <w:szCs w:val="22"/>
              </w:rPr>
              <w:t>Single or Head of Household Active Participants</w:t>
            </w:r>
          </w:p>
        </w:tc>
      </w:tr>
    </w:tbl>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32"/>
        <w:gridCol w:w="3240"/>
      </w:tblGrid>
      <w:tr w:rsidR="00202A5D" w:rsidRPr="00252943" w14:paraId="7B87874A" w14:textId="77777777" w:rsidTr="00202A5D">
        <w:trPr>
          <w:jc w:val="center"/>
        </w:trPr>
        <w:tc>
          <w:tcPr>
            <w:tcW w:w="3532"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19DD24E8" w14:textId="77777777" w:rsidR="007B0176" w:rsidRDefault="007B0176" w:rsidP="007B0176">
            <w:pPr>
              <w:pStyle w:val="WTableHeaderChar"/>
              <w:shd w:val="clear" w:color="auto" w:fill="B8CCE4" w:themeFill="accent1" w:themeFillTint="66"/>
              <w:spacing w:before="0" w:after="0"/>
            </w:pPr>
          </w:p>
          <w:p w14:paraId="53DDA9A7" w14:textId="77777777" w:rsidR="00202A5D" w:rsidRPr="00252943" w:rsidRDefault="00202A5D" w:rsidP="007B0176">
            <w:pPr>
              <w:pStyle w:val="WTableHeaderChar"/>
              <w:shd w:val="clear" w:color="auto" w:fill="B8CCE4" w:themeFill="accent1" w:themeFillTint="66"/>
              <w:spacing w:before="0" w:after="0"/>
            </w:pPr>
            <w:r w:rsidRPr="00252943">
              <w:t>Taxable</w:t>
            </w:r>
            <w:r>
              <w:br/>
            </w:r>
            <w:r w:rsidRPr="00252943">
              <w:t>Years</w:t>
            </w:r>
          </w:p>
        </w:tc>
        <w:tc>
          <w:tcPr>
            <w:tcW w:w="324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79C24F8B" w14:textId="77777777" w:rsidR="007B0176" w:rsidRDefault="007B0176" w:rsidP="007B0176">
            <w:pPr>
              <w:pStyle w:val="WTableHeaderChar"/>
              <w:shd w:val="clear" w:color="auto" w:fill="B8CCE4" w:themeFill="accent1" w:themeFillTint="66"/>
              <w:spacing w:before="0" w:after="0"/>
            </w:pPr>
          </w:p>
          <w:p w14:paraId="2E728C92" w14:textId="77777777" w:rsidR="00202A5D" w:rsidRPr="00252943" w:rsidRDefault="00202A5D" w:rsidP="007B0176">
            <w:pPr>
              <w:pStyle w:val="WTableHeaderChar"/>
              <w:shd w:val="clear" w:color="auto" w:fill="B8CCE4" w:themeFill="accent1" w:themeFillTint="66"/>
              <w:spacing w:before="0" w:after="0"/>
            </w:pPr>
            <w:r w:rsidRPr="00252943">
              <w:t>Applicable</w:t>
            </w:r>
            <w:r>
              <w:t xml:space="preserve"> </w:t>
            </w:r>
            <w:r w:rsidRPr="00252943">
              <w:t>Dollar</w:t>
            </w:r>
            <w:r>
              <w:br/>
            </w:r>
            <w:r w:rsidRPr="00252943">
              <w:t>Amount</w:t>
            </w:r>
          </w:p>
        </w:tc>
      </w:tr>
      <w:tr w:rsidR="00202A5D" w14:paraId="672A8B8F" w14:textId="77777777" w:rsidTr="00202A5D">
        <w:trPr>
          <w:jc w:val="center"/>
        </w:trPr>
        <w:tc>
          <w:tcPr>
            <w:tcW w:w="3532" w:type="dxa"/>
            <w:tcBorders>
              <w:top w:val="single" w:sz="6" w:space="0" w:color="auto"/>
              <w:bottom w:val="single" w:sz="6" w:space="0" w:color="auto"/>
              <w:right w:val="single" w:sz="6" w:space="0" w:color="auto"/>
            </w:tcBorders>
          </w:tcPr>
          <w:p w14:paraId="195E2250" w14:textId="77777777" w:rsidR="00202A5D" w:rsidRDefault="00202A5D" w:rsidP="00C06FCB">
            <w:pPr>
              <w:pStyle w:val="wTableNormal"/>
              <w:jc w:val="center"/>
            </w:pPr>
            <w:r>
              <w:t>2011</w:t>
            </w:r>
          </w:p>
        </w:tc>
        <w:tc>
          <w:tcPr>
            <w:tcW w:w="3240" w:type="dxa"/>
            <w:tcBorders>
              <w:top w:val="single" w:sz="6" w:space="0" w:color="auto"/>
              <w:left w:val="single" w:sz="6" w:space="0" w:color="auto"/>
              <w:bottom w:val="single" w:sz="6" w:space="0" w:color="auto"/>
            </w:tcBorders>
          </w:tcPr>
          <w:p w14:paraId="4B57176D" w14:textId="77777777" w:rsidR="00202A5D" w:rsidRDefault="00202A5D" w:rsidP="00C06FCB">
            <w:pPr>
              <w:pStyle w:val="wTableNormal"/>
              <w:jc w:val="center"/>
            </w:pPr>
            <w:r>
              <w:t>$56,000</w:t>
            </w:r>
          </w:p>
        </w:tc>
      </w:tr>
      <w:tr w:rsidR="00202A5D" w14:paraId="21F222D5" w14:textId="77777777" w:rsidTr="00B627DE">
        <w:trPr>
          <w:jc w:val="center"/>
        </w:trPr>
        <w:tc>
          <w:tcPr>
            <w:tcW w:w="3532" w:type="dxa"/>
            <w:tcBorders>
              <w:top w:val="single" w:sz="6" w:space="0" w:color="auto"/>
              <w:bottom w:val="single" w:sz="6" w:space="0" w:color="auto"/>
              <w:right w:val="single" w:sz="6" w:space="0" w:color="auto"/>
            </w:tcBorders>
          </w:tcPr>
          <w:p w14:paraId="6638DA6B" w14:textId="77777777" w:rsidR="00202A5D" w:rsidRDefault="00202A5D" w:rsidP="00C06FCB">
            <w:pPr>
              <w:pStyle w:val="wTableNormal"/>
              <w:jc w:val="center"/>
            </w:pPr>
            <w:r>
              <w:t>2012</w:t>
            </w:r>
          </w:p>
        </w:tc>
        <w:tc>
          <w:tcPr>
            <w:tcW w:w="3240" w:type="dxa"/>
            <w:tcBorders>
              <w:top w:val="single" w:sz="6" w:space="0" w:color="auto"/>
              <w:left w:val="single" w:sz="6" w:space="0" w:color="auto"/>
              <w:bottom w:val="single" w:sz="6" w:space="0" w:color="auto"/>
            </w:tcBorders>
          </w:tcPr>
          <w:p w14:paraId="2E20232C" w14:textId="77777777" w:rsidR="00202A5D" w:rsidRDefault="00202A5D" w:rsidP="00C06FCB">
            <w:pPr>
              <w:pStyle w:val="wTableNormal"/>
              <w:jc w:val="center"/>
            </w:pPr>
            <w:r>
              <w:t>$58,000</w:t>
            </w:r>
          </w:p>
        </w:tc>
      </w:tr>
      <w:tr w:rsidR="00B627DE" w14:paraId="31DCCF80" w14:textId="77777777" w:rsidTr="005A5201">
        <w:trPr>
          <w:jc w:val="center"/>
        </w:trPr>
        <w:tc>
          <w:tcPr>
            <w:tcW w:w="3532" w:type="dxa"/>
            <w:tcBorders>
              <w:top w:val="single" w:sz="6" w:space="0" w:color="auto"/>
              <w:bottom w:val="single" w:sz="6" w:space="0" w:color="auto"/>
              <w:right w:val="single" w:sz="6" w:space="0" w:color="auto"/>
            </w:tcBorders>
          </w:tcPr>
          <w:p w14:paraId="612F02AB" w14:textId="77777777" w:rsidR="00B627DE" w:rsidRDefault="00B627DE" w:rsidP="00C06FCB">
            <w:pPr>
              <w:pStyle w:val="wTableNormal"/>
              <w:jc w:val="center"/>
            </w:pPr>
            <w:r>
              <w:t>2013</w:t>
            </w:r>
          </w:p>
        </w:tc>
        <w:tc>
          <w:tcPr>
            <w:tcW w:w="3240" w:type="dxa"/>
            <w:tcBorders>
              <w:top w:val="single" w:sz="6" w:space="0" w:color="auto"/>
              <w:left w:val="single" w:sz="6" w:space="0" w:color="auto"/>
              <w:bottom w:val="single" w:sz="6" w:space="0" w:color="auto"/>
            </w:tcBorders>
          </w:tcPr>
          <w:p w14:paraId="63864A49" w14:textId="77777777" w:rsidR="00B627DE" w:rsidRDefault="00B627DE" w:rsidP="00C06FCB">
            <w:pPr>
              <w:pStyle w:val="wTableNormal"/>
              <w:jc w:val="center"/>
            </w:pPr>
            <w:r>
              <w:t>$59,000</w:t>
            </w:r>
          </w:p>
        </w:tc>
      </w:tr>
      <w:tr w:rsidR="005A5201" w14:paraId="20C768A6" w14:textId="77777777" w:rsidTr="00F054D1">
        <w:trPr>
          <w:jc w:val="center"/>
        </w:trPr>
        <w:tc>
          <w:tcPr>
            <w:tcW w:w="3532" w:type="dxa"/>
            <w:tcBorders>
              <w:top w:val="single" w:sz="6" w:space="0" w:color="auto"/>
              <w:bottom w:val="single" w:sz="6" w:space="0" w:color="auto"/>
              <w:right w:val="single" w:sz="6" w:space="0" w:color="auto"/>
            </w:tcBorders>
          </w:tcPr>
          <w:p w14:paraId="7F113A70" w14:textId="77777777" w:rsidR="005A5201" w:rsidRDefault="005A5201" w:rsidP="00C06FCB">
            <w:pPr>
              <w:pStyle w:val="wTableNormal"/>
              <w:jc w:val="center"/>
            </w:pPr>
            <w:r>
              <w:t>2014</w:t>
            </w:r>
          </w:p>
        </w:tc>
        <w:tc>
          <w:tcPr>
            <w:tcW w:w="3240" w:type="dxa"/>
            <w:tcBorders>
              <w:top w:val="single" w:sz="6" w:space="0" w:color="auto"/>
              <w:left w:val="single" w:sz="6" w:space="0" w:color="auto"/>
              <w:bottom w:val="single" w:sz="6" w:space="0" w:color="auto"/>
            </w:tcBorders>
          </w:tcPr>
          <w:p w14:paraId="52FBCBD4" w14:textId="77777777" w:rsidR="005A5201" w:rsidRDefault="005A5201" w:rsidP="00C06FCB">
            <w:pPr>
              <w:pStyle w:val="wTableNormal"/>
              <w:jc w:val="center"/>
            </w:pPr>
            <w:r>
              <w:t>$60,000</w:t>
            </w:r>
          </w:p>
        </w:tc>
      </w:tr>
      <w:tr w:rsidR="00F054D1" w14:paraId="35D34614" w14:textId="77777777" w:rsidTr="00202A5D">
        <w:trPr>
          <w:jc w:val="center"/>
        </w:trPr>
        <w:tc>
          <w:tcPr>
            <w:tcW w:w="3532" w:type="dxa"/>
            <w:tcBorders>
              <w:top w:val="single" w:sz="6" w:space="0" w:color="auto"/>
              <w:right w:val="single" w:sz="6" w:space="0" w:color="auto"/>
            </w:tcBorders>
          </w:tcPr>
          <w:p w14:paraId="1D06599C" w14:textId="77777777" w:rsidR="00F054D1" w:rsidRDefault="00F054D1" w:rsidP="00C06FCB">
            <w:pPr>
              <w:pStyle w:val="wTableNormal"/>
              <w:jc w:val="center"/>
            </w:pPr>
            <w:r>
              <w:t>2015</w:t>
            </w:r>
          </w:p>
        </w:tc>
        <w:tc>
          <w:tcPr>
            <w:tcW w:w="3240" w:type="dxa"/>
            <w:tcBorders>
              <w:top w:val="single" w:sz="6" w:space="0" w:color="auto"/>
              <w:left w:val="single" w:sz="6" w:space="0" w:color="auto"/>
            </w:tcBorders>
          </w:tcPr>
          <w:p w14:paraId="17A87D15" w14:textId="77777777" w:rsidR="00F054D1" w:rsidRDefault="00F054D1" w:rsidP="00C06FCB">
            <w:pPr>
              <w:pStyle w:val="wTableNormal"/>
              <w:jc w:val="center"/>
            </w:pPr>
            <w:r>
              <w:t>$61,000</w:t>
            </w:r>
          </w:p>
        </w:tc>
      </w:tr>
    </w:tbl>
    <w:p w14:paraId="053430A1" w14:textId="77777777" w:rsidR="00202A5D" w:rsidRDefault="00202A5D" w:rsidP="008C3CDC">
      <w:pPr>
        <w:spacing w:after="0"/>
        <w:rPr>
          <w:szCs w:val="22"/>
        </w:rPr>
      </w:pPr>
    </w:p>
    <w:p w14:paraId="3E3A4F47" w14:textId="77777777" w:rsidR="006D29C4" w:rsidRDefault="006D29C4" w:rsidP="00923C1A">
      <w:pPr>
        <w:spacing w:after="0"/>
        <w:rPr>
          <w:szCs w:val="22"/>
        </w:rPr>
      </w:pPr>
      <w:r>
        <w:rPr>
          <w:szCs w:val="22"/>
        </w:rPr>
        <w:t>If the individual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Pr>
          <w:szCs w:val="22"/>
        </w:rPr>
        <w:t xml:space="preserve"> and files a joint federal income tax return, the 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Pr>
          <w:szCs w:val="22"/>
        </w:rPr>
        <w:t xml:space="preserve"> is higher, as shown below:</w:t>
      </w:r>
    </w:p>
    <w:tbl>
      <w:tblPr>
        <w:tblStyle w:val="TableGrid"/>
        <w:tblW w:w="0" w:type="auto"/>
        <w:tblInd w:w="1278" w:type="dxa"/>
        <w:tblLook w:val="04A0" w:firstRow="1" w:lastRow="0" w:firstColumn="1" w:lastColumn="0" w:noHBand="0" w:noVBand="1"/>
      </w:tblPr>
      <w:tblGrid>
        <w:gridCol w:w="6660"/>
      </w:tblGrid>
      <w:tr w:rsidR="00DD4399" w14:paraId="4992BA4C" w14:textId="77777777" w:rsidTr="005A5201">
        <w:tc>
          <w:tcPr>
            <w:tcW w:w="6660" w:type="dxa"/>
          </w:tcPr>
          <w:p w14:paraId="5E0038DF" w14:textId="77777777" w:rsidR="00C06FCB" w:rsidRDefault="00250B99" w:rsidP="007B0176">
            <w:pPr>
              <w:shd w:val="clear" w:color="auto" w:fill="B8CCE4" w:themeFill="accent1" w:themeFillTint="66"/>
              <w:spacing w:after="0"/>
              <w:jc w:val="center"/>
              <w:rPr>
                <w:rFonts w:ascii="Arial" w:hAnsi="Arial" w:cs="Arial"/>
                <w:b/>
                <w:szCs w:val="22"/>
              </w:rPr>
            </w:pPr>
            <w:r w:rsidRPr="00250B99">
              <w:rPr>
                <w:rFonts w:ascii="Arial" w:hAnsi="Arial" w:cs="Arial"/>
                <w:b/>
                <w:szCs w:val="22"/>
              </w:rPr>
              <w:t>Joint Return Active Participants</w:t>
            </w:r>
          </w:p>
        </w:tc>
      </w:tr>
    </w:tbl>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65"/>
        <w:gridCol w:w="3240"/>
      </w:tblGrid>
      <w:tr w:rsidR="006D29C4" w:rsidRPr="006D389B" w14:paraId="406FF90E" w14:textId="77777777" w:rsidTr="005A5201">
        <w:trPr>
          <w:jc w:val="center"/>
        </w:trPr>
        <w:tc>
          <w:tcPr>
            <w:tcW w:w="3465"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1D01D60B" w14:textId="77777777" w:rsidR="007B0176" w:rsidRDefault="007B0176" w:rsidP="007B0176">
            <w:pPr>
              <w:pStyle w:val="WTableHeaderChar"/>
              <w:shd w:val="clear" w:color="auto" w:fill="B8CCE4" w:themeFill="accent1" w:themeFillTint="66"/>
              <w:spacing w:before="0" w:after="0"/>
            </w:pPr>
          </w:p>
          <w:p w14:paraId="6A7D3511" w14:textId="77777777" w:rsidR="006D29C4" w:rsidRPr="00252943" w:rsidRDefault="006D29C4" w:rsidP="007B0176">
            <w:pPr>
              <w:pStyle w:val="WTableHeaderChar"/>
              <w:shd w:val="clear" w:color="auto" w:fill="B8CCE4" w:themeFill="accent1" w:themeFillTint="66"/>
              <w:spacing w:before="0" w:after="0"/>
            </w:pPr>
            <w:r w:rsidRPr="00252943">
              <w:t>Taxable</w:t>
            </w:r>
            <w:r w:rsidR="00923C1A">
              <w:br/>
            </w:r>
            <w:r w:rsidRPr="00252943">
              <w:t>Years</w:t>
            </w:r>
          </w:p>
        </w:tc>
        <w:tc>
          <w:tcPr>
            <w:tcW w:w="324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6069BB8B" w14:textId="77777777" w:rsidR="007B0176" w:rsidRDefault="007B0176" w:rsidP="007B0176">
            <w:pPr>
              <w:pStyle w:val="WTableHeaderChar"/>
              <w:shd w:val="clear" w:color="auto" w:fill="B8CCE4" w:themeFill="accent1" w:themeFillTint="66"/>
              <w:spacing w:before="0" w:after="0"/>
            </w:pPr>
          </w:p>
          <w:p w14:paraId="534CB2B0" w14:textId="77777777" w:rsidR="006D29C4" w:rsidRPr="00252943" w:rsidRDefault="006D29C4" w:rsidP="007B0176">
            <w:pPr>
              <w:pStyle w:val="WTableHeaderChar"/>
              <w:shd w:val="clear" w:color="auto" w:fill="B8CCE4" w:themeFill="accent1" w:themeFillTint="66"/>
              <w:spacing w:before="0" w:after="0"/>
            </w:pPr>
            <w:r w:rsidRPr="00252943">
              <w:t>Applicable</w:t>
            </w:r>
            <w:r w:rsidR="006F6ED7">
              <w:t xml:space="preserve"> </w:t>
            </w:r>
            <w:r w:rsidRPr="00252943">
              <w:t>Dollar</w:t>
            </w:r>
            <w:r w:rsidR="00923C1A">
              <w:br/>
            </w:r>
            <w:r w:rsidRPr="00252943">
              <w:t>Amount</w:t>
            </w:r>
          </w:p>
        </w:tc>
      </w:tr>
      <w:tr w:rsidR="004B2FF8" w:rsidRPr="006D389B" w14:paraId="3BFE2013" w14:textId="77777777" w:rsidTr="005A5201">
        <w:trPr>
          <w:jc w:val="center"/>
        </w:trPr>
        <w:tc>
          <w:tcPr>
            <w:tcW w:w="3465" w:type="dxa"/>
            <w:tcBorders>
              <w:top w:val="single" w:sz="6" w:space="0" w:color="auto"/>
              <w:bottom w:val="single" w:sz="6" w:space="0" w:color="auto"/>
              <w:right w:val="single" w:sz="6" w:space="0" w:color="auto"/>
            </w:tcBorders>
          </w:tcPr>
          <w:p w14:paraId="22B2763D" w14:textId="77777777" w:rsidR="004B2FF8" w:rsidRDefault="004B2FF8" w:rsidP="006D389B">
            <w:pPr>
              <w:pStyle w:val="wTableNormal"/>
              <w:jc w:val="center"/>
            </w:pPr>
            <w:r>
              <w:t>2011</w:t>
            </w:r>
          </w:p>
        </w:tc>
        <w:tc>
          <w:tcPr>
            <w:tcW w:w="3240" w:type="dxa"/>
            <w:tcBorders>
              <w:top w:val="single" w:sz="6" w:space="0" w:color="auto"/>
              <w:left w:val="single" w:sz="6" w:space="0" w:color="auto"/>
              <w:bottom w:val="single" w:sz="6" w:space="0" w:color="auto"/>
            </w:tcBorders>
          </w:tcPr>
          <w:p w14:paraId="336EC812" w14:textId="77777777" w:rsidR="004B2FF8" w:rsidRDefault="004B2FF8" w:rsidP="006D389B">
            <w:pPr>
              <w:pStyle w:val="wTableNormal"/>
              <w:jc w:val="center"/>
            </w:pPr>
            <w:r>
              <w:t>$90,000</w:t>
            </w:r>
          </w:p>
        </w:tc>
      </w:tr>
      <w:tr w:rsidR="00DD4399" w:rsidRPr="006D389B" w14:paraId="553A228B" w14:textId="77777777" w:rsidTr="005A5201">
        <w:trPr>
          <w:jc w:val="center"/>
        </w:trPr>
        <w:tc>
          <w:tcPr>
            <w:tcW w:w="3465" w:type="dxa"/>
            <w:tcBorders>
              <w:top w:val="single" w:sz="6" w:space="0" w:color="auto"/>
              <w:bottom w:val="single" w:sz="6" w:space="0" w:color="auto"/>
              <w:right w:val="single" w:sz="6" w:space="0" w:color="auto"/>
            </w:tcBorders>
          </w:tcPr>
          <w:p w14:paraId="1F2141F6" w14:textId="77777777" w:rsidR="00DD4399" w:rsidRDefault="00DD4399" w:rsidP="006D389B">
            <w:pPr>
              <w:pStyle w:val="wTableNormal"/>
              <w:jc w:val="center"/>
            </w:pPr>
            <w:r>
              <w:t>2012</w:t>
            </w:r>
          </w:p>
        </w:tc>
        <w:tc>
          <w:tcPr>
            <w:tcW w:w="3240" w:type="dxa"/>
            <w:tcBorders>
              <w:top w:val="single" w:sz="6" w:space="0" w:color="auto"/>
              <w:left w:val="single" w:sz="6" w:space="0" w:color="auto"/>
              <w:bottom w:val="single" w:sz="6" w:space="0" w:color="auto"/>
            </w:tcBorders>
          </w:tcPr>
          <w:p w14:paraId="59EC31AA" w14:textId="77777777" w:rsidR="00DD4399" w:rsidRDefault="00DD4399" w:rsidP="006D389B">
            <w:pPr>
              <w:pStyle w:val="wTableNormal"/>
              <w:jc w:val="center"/>
            </w:pPr>
            <w:r>
              <w:t>$92,000</w:t>
            </w:r>
          </w:p>
        </w:tc>
      </w:tr>
      <w:tr w:rsidR="00B627DE" w:rsidRPr="006D389B" w14:paraId="49A28BDC" w14:textId="77777777" w:rsidTr="005A5201">
        <w:trPr>
          <w:jc w:val="center"/>
        </w:trPr>
        <w:tc>
          <w:tcPr>
            <w:tcW w:w="3465" w:type="dxa"/>
            <w:tcBorders>
              <w:top w:val="single" w:sz="6" w:space="0" w:color="auto"/>
              <w:bottom w:val="single" w:sz="6" w:space="0" w:color="auto"/>
              <w:right w:val="single" w:sz="6" w:space="0" w:color="auto"/>
            </w:tcBorders>
          </w:tcPr>
          <w:p w14:paraId="324C1BE4" w14:textId="77777777" w:rsidR="00B627DE" w:rsidRDefault="00B627DE" w:rsidP="006D389B">
            <w:pPr>
              <w:pStyle w:val="wTableNormal"/>
              <w:jc w:val="center"/>
            </w:pPr>
            <w:r>
              <w:t>2013</w:t>
            </w:r>
          </w:p>
        </w:tc>
        <w:tc>
          <w:tcPr>
            <w:tcW w:w="3240" w:type="dxa"/>
            <w:tcBorders>
              <w:top w:val="single" w:sz="6" w:space="0" w:color="auto"/>
              <w:left w:val="single" w:sz="6" w:space="0" w:color="auto"/>
              <w:bottom w:val="single" w:sz="6" w:space="0" w:color="auto"/>
            </w:tcBorders>
          </w:tcPr>
          <w:p w14:paraId="2CD6DB29" w14:textId="77777777" w:rsidR="00B627DE" w:rsidRDefault="008E4E3B" w:rsidP="006D389B">
            <w:pPr>
              <w:pStyle w:val="wTableNormal"/>
              <w:jc w:val="center"/>
            </w:pPr>
            <w:r>
              <w:t>$95,000</w:t>
            </w:r>
          </w:p>
        </w:tc>
      </w:tr>
      <w:tr w:rsidR="005A5201" w:rsidRPr="006D389B" w14:paraId="14950B35" w14:textId="77777777" w:rsidTr="00F054D1">
        <w:trPr>
          <w:jc w:val="center"/>
        </w:trPr>
        <w:tc>
          <w:tcPr>
            <w:tcW w:w="3465" w:type="dxa"/>
            <w:tcBorders>
              <w:top w:val="single" w:sz="6" w:space="0" w:color="auto"/>
              <w:bottom w:val="single" w:sz="6" w:space="0" w:color="auto"/>
              <w:right w:val="single" w:sz="6" w:space="0" w:color="auto"/>
            </w:tcBorders>
          </w:tcPr>
          <w:p w14:paraId="7BDC5A33" w14:textId="77777777" w:rsidR="005A5201" w:rsidRDefault="005A5201" w:rsidP="006D389B">
            <w:pPr>
              <w:pStyle w:val="wTableNormal"/>
              <w:jc w:val="center"/>
            </w:pPr>
            <w:r>
              <w:t>2014</w:t>
            </w:r>
          </w:p>
        </w:tc>
        <w:tc>
          <w:tcPr>
            <w:tcW w:w="3240" w:type="dxa"/>
            <w:tcBorders>
              <w:top w:val="single" w:sz="6" w:space="0" w:color="auto"/>
              <w:left w:val="single" w:sz="6" w:space="0" w:color="auto"/>
              <w:bottom w:val="single" w:sz="6" w:space="0" w:color="auto"/>
            </w:tcBorders>
          </w:tcPr>
          <w:p w14:paraId="4F7D4A37" w14:textId="77777777" w:rsidR="005A5201" w:rsidRDefault="000C109B" w:rsidP="006D389B">
            <w:pPr>
              <w:pStyle w:val="wTableNormal"/>
              <w:jc w:val="center"/>
            </w:pPr>
            <w:r>
              <w:t>$96,000</w:t>
            </w:r>
          </w:p>
        </w:tc>
      </w:tr>
      <w:tr w:rsidR="00F054D1" w:rsidRPr="006D389B" w14:paraId="5D80DBBE" w14:textId="77777777" w:rsidTr="005A5201">
        <w:trPr>
          <w:jc w:val="center"/>
        </w:trPr>
        <w:tc>
          <w:tcPr>
            <w:tcW w:w="3465" w:type="dxa"/>
            <w:tcBorders>
              <w:top w:val="single" w:sz="6" w:space="0" w:color="auto"/>
              <w:right w:val="single" w:sz="6" w:space="0" w:color="auto"/>
            </w:tcBorders>
          </w:tcPr>
          <w:p w14:paraId="34DBA0F5" w14:textId="77777777" w:rsidR="00F054D1" w:rsidRDefault="00F054D1" w:rsidP="006D389B">
            <w:pPr>
              <w:pStyle w:val="wTableNormal"/>
              <w:jc w:val="center"/>
            </w:pPr>
            <w:r>
              <w:t>2015</w:t>
            </w:r>
          </w:p>
        </w:tc>
        <w:tc>
          <w:tcPr>
            <w:tcW w:w="3240" w:type="dxa"/>
            <w:tcBorders>
              <w:top w:val="single" w:sz="6" w:space="0" w:color="auto"/>
              <w:left w:val="single" w:sz="6" w:space="0" w:color="auto"/>
            </w:tcBorders>
          </w:tcPr>
          <w:p w14:paraId="68BAB363" w14:textId="77777777" w:rsidR="00F054D1" w:rsidRDefault="00F054D1" w:rsidP="006D389B">
            <w:pPr>
              <w:pStyle w:val="wTableNormal"/>
              <w:jc w:val="center"/>
            </w:pPr>
            <w:r>
              <w:t>$98,000</w:t>
            </w:r>
          </w:p>
        </w:tc>
      </w:tr>
    </w:tbl>
    <w:p w14:paraId="337AEEC0" w14:textId="77777777" w:rsidR="00E70356" w:rsidRDefault="00E70356" w:rsidP="00923C1A">
      <w:pPr>
        <w:spacing w:after="0"/>
        <w:rPr>
          <w:szCs w:val="22"/>
        </w:rPr>
      </w:pPr>
    </w:p>
    <w:p w14:paraId="0E2616B7" w14:textId="77777777" w:rsidR="006D29C4" w:rsidRDefault="006D29C4" w:rsidP="00661D04">
      <w:pPr>
        <w:spacing w:after="0"/>
        <w:rPr>
          <w:szCs w:val="22"/>
        </w:rPr>
      </w:pPr>
      <w:r>
        <w:rPr>
          <w:szCs w:val="22"/>
        </w:rPr>
        <w:t xml:space="preserve">Suppose that John’s </w:t>
      </w:r>
      <w:r w:rsidR="00DD4399">
        <w:rPr>
          <w:szCs w:val="22"/>
        </w:rPr>
        <w:t xml:space="preserve">45 year-old </w:t>
      </w:r>
      <w:r>
        <w:rPr>
          <w:szCs w:val="22"/>
        </w:rPr>
        <w:t>married brother, Tom Burns, is also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his employer’s pension plan and has an adj</w:t>
      </w:r>
      <w:r w:rsidR="00BF7AE3">
        <w:rPr>
          <w:szCs w:val="22"/>
        </w:rPr>
        <w:t>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BF7AE3">
        <w:rPr>
          <w:szCs w:val="22"/>
        </w:rPr>
        <w:t xml:space="preserve"> in </w:t>
      </w:r>
      <w:r w:rsidR="004E1B01">
        <w:t>20</w:t>
      </w:r>
      <w:r w:rsidR="00B450CC">
        <w:t>1</w:t>
      </w:r>
      <w:r w:rsidR="00F054D1">
        <w:t>5</w:t>
      </w:r>
      <w:r w:rsidR="004E1B01">
        <w:t xml:space="preserve"> of $</w:t>
      </w:r>
      <w:r w:rsidR="008E4E3B">
        <w:t>10</w:t>
      </w:r>
      <w:r w:rsidR="00F054D1">
        <w:t>3</w:t>
      </w:r>
      <w:r w:rsidR="004E1B01">
        <w:t>,000</w:t>
      </w:r>
      <w:r>
        <w:rPr>
          <w:szCs w:val="22"/>
        </w:rPr>
        <w:t>.</w:t>
      </w:r>
      <w:r w:rsidR="00297ACB">
        <w:rPr>
          <w:szCs w:val="22"/>
        </w:rPr>
        <w:t xml:space="preserve"> </w:t>
      </w:r>
      <w:r>
        <w:rPr>
          <w:szCs w:val="22"/>
        </w:rPr>
        <w:t xml:space="preserve">He </w:t>
      </w:r>
      <w:r w:rsidR="006B651A">
        <w:rPr>
          <w:szCs w:val="22"/>
        </w:rPr>
        <w:t>to</w:t>
      </w:r>
      <w:r>
        <w:rPr>
          <w:szCs w:val="22"/>
        </w:rPr>
        <w:t xml:space="preserve">o wants to determine how much of the </w:t>
      </w:r>
      <w:r w:rsidRPr="00453314">
        <w:rPr>
          <w:szCs w:val="22"/>
        </w:rPr>
        <w:t>maximum IRA deductible amount</w:t>
      </w:r>
      <w:r>
        <w:rPr>
          <w:szCs w:val="22"/>
        </w:rPr>
        <w:t xml:space="preserve"> he qualifies for.</w:t>
      </w:r>
      <w:r w:rsidR="00297ACB">
        <w:rPr>
          <w:szCs w:val="22"/>
        </w:rPr>
        <w:t xml:space="preserve"> </w:t>
      </w:r>
      <w:r>
        <w:rPr>
          <w:szCs w:val="22"/>
        </w:rPr>
        <w:t>We can make the same substitutions into the formula and find that his</w:t>
      </w:r>
      <w:r w:rsidR="001B5829">
        <w:rPr>
          <w:szCs w:val="22"/>
        </w:rPr>
        <w:t xml:space="preserve"> maximum deductible amount is $</w:t>
      </w:r>
      <w:r w:rsidR="008E4E3B">
        <w:rPr>
          <w:szCs w:val="22"/>
        </w:rPr>
        <w:t>4,125</w:t>
      </w:r>
      <w:r>
        <w:rPr>
          <w:szCs w:val="22"/>
        </w:rPr>
        <w:t>.</w:t>
      </w:r>
      <w:r w:rsidR="00297ACB">
        <w:rPr>
          <w:szCs w:val="22"/>
        </w:rPr>
        <w:t xml:space="preserve"> </w:t>
      </w:r>
      <w:r>
        <w:rPr>
          <w:szCs w:val="22"/>
        </w:rPr>
        <w:t xml:space="preserve">The formula </w:t>
      </w:r>
      <w:r w:rsidR="006B07D7">
        <w:rPr>
          <w:szCs w:val="22"/>
        </w:rPr>
        <w:t xml:space="preserve">for an active participant filing a </w:t>
      </w:r>
      <w:r w:rsidR="006B07D7">
        <w:rPr>
          <w:i/>
          <w:szCs w:val="22"/>
        </w:rPr>
        <w:t>joint federal tax return</w:t>
      </w:r>
      <w:r w:rsidR="006B07D7">
        <w:rPr>
          <w:szCs w:val="22"/>
        </w:rPr>
        <w:t xml:space="preserve"> </w:t>
      </w:r>
      <w:r>
        <w:rPr>
          <w:szCs w:val="22"/>
        </w:rPr>
        <w:t xml:space="preserve">is </w:t>
      </w:r>
      <w:r w:rsidR="006B651A">
        <w:rPr>
          <w:szCs w:val="22"/>
        </w:rPr>
        <w:t>used</w:t>
      </w:r>
      <w:r w:rsidR="006B07D7">
        <w:rPr>
          <w:szCs w:val="22"/>
        </w:rPr>
        <w:t xml:space="preserve"> in this case</w:t>
      </w:r>
      <w:r>
        <w:rPr>
          <w:szCs w:val="22"/>
        </w:rPr>
        <w:t>:</w:t>
      </w:r>
    </w:p>
    <w:p w14:paraId="66423196" w14:textId="77777777" w:rsidR="006B07D7" w:rsidRDefault="006B07D7" w:rsidP="00661D04">
      <w:pPr>
        <w:spacing w:after="0"/>
        <w:rPr>
          <w:szCs w:val="22"/>
        </w:rPr>
      </w:pPr>
    </w:p>
    <w:tbl>
      <w:tblPr>
        <w:tblW w:w="0" w:type="auto"/>
        <w:jc w:val="center"/>
        <w:tblLook w:val="01E0" w:firstRow="1" w:lastRow="1" w:firstColumn="1" w:lastColumn="1" w:noHBand="0" w:noVBand="0"/>
      </w:tblPr>
      <w:tblGrid>
        <w:gridCol w:w="2345"/>
        <w:gridCol w:w="333"/>
        <w:gridCol w:w="2031"/>
        <w:gridCol w:w="350"/>
        <w:gridCol w:w="3010"/>
      </w:tblGrid>
      <w:tr w:rsidR="006D29C4" w:rsidRPr="006D389B" w14:paraId="34BED7C3" w14:textId="77777777" w:rsidTr="006D389B">
        <w:trPr>
          <w:jc w:val="center"/>
        </w:trPr>
        <w:tc>
          <w:tcPr>
            <w:tcW w:w="2345" w:type="dxa"/>
          </w:tcPr>
          <w:p w14:paraId="14752FCC" w14:textId="77777777" w:rsidR="006D29C4" w:rsidRPr="007A6E0D" w:rsidRDefault="006D29C4" w:rsidP="006D389B">
            <w:pPr>
              <w:pStyle w:val="wTableNormal"/>
              <w:spacing w:before="160"/>
            </w:pPr>
            <w:r w:rsidRPr="007A6E0D">
              <w:t>Reduction</w:t>
            </w:r>
            <w:r w:rsidR="00661D04">
              <w:t xml:space="preserve"> </w:t>
            </w:r>
            <w:r w:rsidR="00861ABF" w:rsidRPr="007A6E0D">
              <w:t>of</w:t>
            </w:r>
            <w:r w:rsidR="00661D04">
              <w:t xml:space="preserve"> D</w:t>
            </w:r>
            <w:r w:rsidRPr="007A6E0D">
              <w:t>eduction</w:t>
            </w:r>
          </w:p>
        </w:tc>
        <w:tc>
          <w:tcPr>
            <w:tcW w:w="333" w:type="dxa"/>
          </w:tcPr>
          <w:p w14:paraId="6EB75297" w14:textId="77777777" w:rsidR="006D29C4" w:rsidRPr="007A6E0D" w:rsidRDefault="006D29C4" w:rsidP="006D389B">
            <w:pPr>
              <w:pStyle w:val="wTableNormal"/>
              <w:spacing w:before="160"/>
            </w:pPr>
            <w:r w:rsidRPr="007A6E0D">
              <w:t>=</w:t>
            </w:r>
          </w:p>
        </w:tc>
        <w:tc>
          <w:tcPr>
            <w:tcW w:w="2031" w:type="dxa"/>
          </w:tcPr>
          <w:p w14:paraId="09E84E84" w14:textId="77777777" w:rsidR="006D29C4" w:rsidRPr="007A6E0D" w:rsidRDefault="00661D04" w:rsidP="00DD4399">
            <w:pPr>
              <w:pStyle w:val="wTableNormal"/>
              <w:spacing w:before="160"/>
            </w:pPr>
            <w:r>
              <w:t xml:space="preserve">Maximum </w:t>
            </w:r>
            <w:r w:rsidR="00DD4399">
              <w:t>contribution</w:t>
            </w:r>
          </w:p>
        </w:tc>
        <w:tc>
          <w:tcPr>
            <w:tcW w:w="350" w:type="dxa"/>
          </w:tcPr>
          <w:p w14:paraId="3018C18C" w14:textId="77777777" w:rsidR="006D29C4" w:rsidRPr="007A6E0D" w:rsidRDefault="006B07D7" w:rsidP="006D389B">
            <w:pPr>
              <w:pStyle w:val="wTableNormal"/>
              <w:spacing w:before="160"/>
            </w:pPr>
            <w:r>
              <w:t>X</w:t>
            </w:r>
          </w:p>
        </w:tc>
        <w:tc>
          <w:tcPr>
            <w:tcW w:w="3010" w:type="dxa"/>
          </w:tcPr>
          <w:p w14:paraId="40C5D60D" w14:textId="77777777" w:rsidR="006D29C4" w:rsidRPr="007A6E0D" w:rsidRDefault="006D29C4" w:rsidP="006D389B">
            <w:pPr>
              <w:pStyle w:val="wTableNormal"/>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00B1816D" w14:textId="77777777" w:rsidR="006D29C4" w:rsidRPr="007A6E0D" w:rsidRDefault="006D29C4" w:rsidP="006D389B">
            <w:pPr>
              <w:pStyle w:val="wTableNormal"/>
              <w:jc w:val="center"/>
            </w:pPr>
            <w:r w:rsidRPr="007A6E0D">
              <w:t>$</w:t>
            </w:r>
            <w:r w:rsidR="006B07D7">
              <w:t>2</w:t>
            </w:r>
            <w:r w:rsidRPr="007A6E0D">
              <w:t>0,000</w:t>
            </w:r>
          </w:p>
        </w:tc>
      </w:tr>
    </w:tbl>
    <w:p w14:paraId="18683148" w14:textId="77777777" w:rsidR="00661D04" w:rsidRDefault="00661D04" w:rsidP="00661D04">
      <w:pPr>
        <w:spacing w:after="0"/>
        <w:rPr>
          <w:szCs w:val="22"/>
        </w:rPr>
      </w:pPr>
    </w:p>
    <w:tbl>
      <w:tblPr>
        <w:tblW w:w="0" w:type="auto"/>
        <w:jc w:val="center"/>
        <w:tblLook w:val="01E0" w:firstRow="1" w:lastRow="1" w:firstColumn="1" w:lastColumn="1" w:noHBand="0" w:noVBand="0"/>
      </w:tblPr>
      <w:tblGrid>
        <w:gridCol w:w="955"/>
        <w:gridCol w:w="440"/>
        <w:gridCol w:w="1042"/>
        <w:gridCol w:w="330"/>
        <w:gridCol w:w="2918"/>
      </w:tblGrid>
      <w:tr w:rsidR="00661D04" w:rsidRPr="007A6E0D" w14:paraId="1F6785C1" w14:textId="77777777" w:rsidTr="006D389B">
        <w:trPr>
          <w:jc w:val="center"/>
        </w:trPr>
        <w:tc>
          <w:tcPr>
            <w:tcW w:w="955" w:type="dxa"/>
          </w:tcPr>
          <w:p w14:paraId="7037432D" w14:textId="77777777" w:rsidR="00661D04" w:rsidRPr="007A6E0D" w:rsidRDefault="001B5829" w:rsidP="008E4E3B">
            <w:pPr>
              <w:pStyle w:val="wTableNormal"/>
              <w:spacing w:before="160"/>
            </w:pPr>
            <w:r>
              <w:t>$</w:t>
            </w:r>
            <w:r w:rsidR="006B07D7">
              <w:t>1,</w:t>
            </w:r>
            <w:r w:rsidR="008E4E3B">
              <w:t>375</w:t>
            </w:r>
          </w:p>
        </w:tc>
        <w:tc>
          <w:tcPr>
            <w:tcW w:w="440" w:type="dxa"/>
          </w:tcPr>
          <w:p w14:paraId="1318F765" w14:textId="77777777" w:rsidR="00661D04" w:rsidRPr="007A6E0D" w:rsidRDefault="00661D04" w:rsidP="006D389B">
            <w:pPr>
              <w:pStyle w:val="wTableNormal"/>
              <w:spacing w:before="160"/>
            </w:pPr>
            <w:r w:rsidRPr="007A6E0D">
              <w:t>=</w:t>
            </w:r>
          </w:p>
        </w:tc>
        <w:tc>
          <w:tcPr>
            <w:tcW w:w="1042" w:type="dxa"/>
          </w:tcPr>
          <w:p w14:paraId="3FD79810" w14:textId="77777777" w:rsidR="00661D04" w:rsidRPr="007A6E0D" w:rsidRDefault="001B5829" w:rsidP="008E4E3B">
            <w:pPr>
              <w:pStyle w:val="wTableNormal"/>
              <w:spacing w:before="160"/>
            </w:pPr>
            <w:r>
              <w:t>$</w:t>
            </w:r>
            <w:r w:rsidR="0093235C">
              <w:t>5</w:t>
            </w:r>
            <w:r w:rsidR="00661D04" w:rsidRPr="007A6E0D">
              <w:t>,</w:t>
            </w:r>
            <w:r w:rsidR="008E4E3B">
              <w:t>5</w:t>
            </w:r>
            <w:r w:rsidR="00661D04" w:rsidRPr="007A6E0D">
              <w:t>00</w:t>
            </w:r>
          </w:p>
        </w:tc>
        <w:tc>
          <w:tcPr>
            <w:tcW w:w="330" w:type="dxa"/>
          </w:tcPr>
          <w:p w14:paraId="4CF16465" w14:textId="77777777" w:rsidR="00661D04" w:rsidRPr="007A6E0D" w:rsidRDefault="00661D04" w:rsidP="006D389B">
            <w:pPr>
              <w:pStyle w:val="wTableNormal"/>
              <w:spacing w:before="160"/>
            </w:pPr>
            <w:r>
              <w:t>x</w:t>
            </w:r>
          </w:p>
        </w:tc>
        <w:tc>
          <w:tcPr>
            <w:tcW w:w="2918" w:type="dxa"/>
          </w:tcPr>
          <w:p w14:paraId="63A55493" w14:textId="77777777" w:rsidR="00661D04" w:rsidRPr="007A6E0D" w:rsidRDefault="00661D04" w:rsidP="006D389B">
            <w:pPr>
              <w:pStyle w:val="wTableNormal"/>
              <w:jc w:val="center"/>
            </w:pPr>
            <w:r w:rsidRPr="006D389B">
              <w:rPr>
                <w:u w:val="single"/>
              </w:rPr>
              <w:t>$</w:t>
            </w:r>
            <w:r w:rsidR="008E4E3B">
              <w:rPr>
                <w:u w:val="single"/>
              </w:rPr>
              <w:t>10</w:t>
            </w:r>
            <w:r w:rsidR="00F054D1">
              <w:rPr>
                <w:u w:val="single"/>
              </w:rPr>
              <w:t>3</w:t>
            </w:r>
            <w:r w:rsidR="00A056C5" w:rsidRPr="006D389B">
              <w:rPr>
                <w:u w:val="single"/>
              </w:rPr>
              <w:t xml:space="preserve">,000 – </w:t>
            </w:r>
            <w:r w:rsidR="004E1B01" w:rsidRPr="006D389B">
              <w:rPr>
                <w:u w:val="single"/>
              </w:rPr>
              <w:t>9</w:t>
            </w:r>
            <w:r w:rsidR="00F054D1">
              <w:rPr>
                <w:u w:val="single"/>
              </w:rPr>
              <w:t>8</w:t>
            </w:r>
            <w:r w:rsidRPr="006D389B">
              <w:rPr>
                <w:u w:val="single"/>
              </w:rPr>
              <w:t>,000</w:t>
            </w:r>
          </w:p>
          <w:p w14:paraId="58AA7C18" w14:textId="77777777" w:rsidR="00661D04" w:rsidRPr="007A6E0D" w:rsidRDefault="00661D04" w:rsidP="006D389B">
            <w:pPr>
              <w:pStyle w:val="wTableNormal"/>
              <w:jc w:val="center"/>
            </w:pPr>
            <w:r w:rsidRPr="007A6E0D">
              <w:t>$</w:t>
            </w:r>
            <w:r w:rsidR="006B07D7">
              <w:t>2</w:t>
            </w:r>
            <w:r w:rsidRPr="007A6E0D">
              <w:t>0,000</w:t>
            </w:r>
          </w:p>
        </w:tc>
      </w:tr>
    </w:tbl>
    <w:p w14:paraId="6182F934" w14:textId="77777777" w:rsidR="00661D04" w:rsidRDefault="00661D04" w:rsidP="00661D04">
      <w:pPr>
        <w:spacing w:after="0"/>
        <w:rPr>
          <w:szCs w:val="22"/>
        </w:rPr>
      </w:pPr>
    </w:p>
    <w:p w14:paraId="789F33A7" w14:textId="77777777" w:rsidR="006D29C4" w:rsidRDefault="006D29C4" w:rsidP="00825E0B">
      <w:pPr>
        <w:rPr>
          <w:szCs w:val="22"/>
        </w:rPr>
      </w:pPr>
      <w:r>
        <w:rPr>
          <w:szCs w:val="22"/>
        </w:rPr>
        <w:t xml:space="preserve">Since the maximum permitted deduction for </w:t>
      </w:r>
      <w:r w:rsidR="0093235C">
        <w:rPr>
          <w:szCs w:val="22"/>
        </w:rPr>
        <w:t>20</w:t>
      </w:r>
      <w:r w:rsidR="00B450CC">
        <w:rPr>
          <w:szCs w:val="22"/>
        </w:rPr>
        <w:t>1</w:t>
      </w:r>
      <w:r w:rsidR="00F054D1">
        <w:rPr>
          <w:szCs w:val="22"/>
        </w:rPr>
        <w:t>5</w:t>
      </w:r>
      <w:r w:rsidR="001B5829">
        <w:rPr>
          <w:szCs w:val="22"/>
        </w:rPr>
        <w:t xml:space="preserve"> is $</w:t>
      </w:r>
      <w:r w:rsidR="0093235C">
        <w:rPr>
          <w:szCs w:val="22"/>
        </w:rPr>
        <w:t>5,</w:t>
      </w:r>
      <w:r w:rsidR="008E4E3B">
        <w:rPr>
          <w:szCs w:val="22"/>
        </w:rPr>
        <w:t>5</w:t>
      </w:r>
      <w:r w:rsidR="0093235C">
        <w:rPr>
          <w:szCs w:val="22"/>
        </w:rPr>
        <w:t>00</w:t>
      </w:r>
      <w:r>
        <w:rPr>
          <w:szCs w:val="22"/>
        </w:rPr>
        <w:t>, and the reduction determined by the formula is $</w:t>
      </w:r>
      <w:r w:rsidR="0093235C">
        <w:rPr>
          <w:szCs w:val="22"/>
        </w:rPr>
        <w:t>1,</w:t>
      </w:r>
      <w:r w:rsidR="008E4E3B">
        <w:rPr>
          <w:szCs w:val="22"/>
        </w:rPr>
        <w:t>375</w:t>
      </w:r>
      <w:r>
        <w:rPr>
          <w:szCs w:val="22"/>
        </w:rPr>
        <w:t xml:space="preserve">, </w:t>
      </w:r>
      <w:r w:rsidR="009C65A6">
        <w:rPr>
          <w:szCs w:val="22"/>
        </w:rPr>
        <w:t>Tom</w:t>
      </w:r>
      <w:r>
        <w:rPr>
          <w:szCs w:val="22"/>
        </w:rPr>
        <w:t>’s permitted deduction is the difference—$</w:t>
      </w:r>
      <w:r w:rsidR="008E4E3B">
        <w:rPr>
          <w:szCs w:val="22"/>
        </w:rPr>
        <w:t>4</w:t>
      </w:r>
      <w:r w:rsidR="0093235C">
        <w:rPr>
          <w:szCs w:val="22"/>
        </w:rPr>
        <w:t>,</w:t>
      </w:r>
      <w:r w:rsidR="008E4E3B">
        <w:rPr>
          <w:szCs w:val="22"/>
        </w:rPr>
        <w:t>125</w:t>
      </w:r>
      <w:r>
        <w:rPr>
          <w:szCs w:val="22"/>
        </w:rPr>
        <w:t>.</w:t>
      </w:r>
      <w:r w:rsidR="00297ACB">
        <w:rPr>
          <w:szCs w:val="22"/>
        </w:rPr>
        <w:t xml:space="preserve"> </w:t>
      </w:r>
      <w:r w:rsidR="001B5829">
        <w:rPr>
          <w:szCs w:val="22"/>
        </w:rPr>
        <w:t>($</w:t>
      </w:r>
      <w:r w:rsidR="0093235C">
        <w:rPr>
          <w:szCs w:val="22"/>
        </w:rPr>
        <w:t>5</w:t>
      </w:r>
      <w:r>
        <w:rPr>
          <w:szCs w:val="22"/>
        </w:rPr>
        <w:t>,</w:t>
      </w:r>
      <w:r w:rsidR="008E4E3B">
        <w:rPr>
          <w:szCs w:val="22"/>
        </w:rPr>
        <w:t>5</w:t>
      </w:r>
      <w:r>
        <w:rPr>
          <w:szCs w:val="22"/>
        </w:rPr>
        <w:t>00 - $</w:t>
      </w:r>
      <w:r w:rsidR="006B07D7">
        <w:rPr>
          <w:szCs w:val="22"/>
        </w:rPr>
        <w:t>1,</w:t>
      </w:r>
      <w:r w:rsidR="008E4E3B">
        <w:rPr>
          <w:szCs w:val="22"/>
        </w:rPr>
        <w:t>375</w:t>
      </w:r>
      <w:r>
        <w:rPr>
          <w:szCs w:val="22"/>
        </w:rPr>
        <w:t xml:space="preserve"> = $</w:t>
      </w:r>
      <w:r w:rsidR="008E4E3B">
        <w:rPr>
          <w:szCs w:val="22"/>
        </w:rPr>
        <w:t>4,125</w:t>
      </w:r>
      <w:r>
        <w:rPr>
          <w:szCs w:val="22"/>
        </w:rPr>
        <w:t>)</w:t>
      </w:r>
    </w:p>
    <w:p w14:paraId="0E8D7FDD" w14:textId="77777777" w:rsidR="00851BAA" w:rsidRDefault="006B651A" w:rsidP="00451D3E">
      <w:pPr>
        <w:spacing w:after="0"/>
        <w:rPr>
          <w:szCs w:val="22"/>
        </w:rPr>
      </w:pPr>
      <w:r>
        <w:rPr>
          <w:szCs w:val="22"/>
        </w:rPr>
        <w:t>There is a third possibility that we need to examine.</w:t>
      </w:r>
      <w:r w:rsidR="00297ACB">
        <w:rPr>
          <w:szCs w:val="22"/>
        </w:rPr>
        <w:t xml:space="preserve"> </w:t>
      </w:r>
      <w:r>
        <w:rPr>
          <w:szCs w:val="22"/>
        </w:rPr>
        <w:t xml:space="preserve">Tom’s </w:t>
      </w:r>
      <w:r w:rsidR="00DD4399">
        <w:rPr>
          <w:szCs w:val="22"/>
        </w:rPr>
        <w:t xml:space="preserve">40 year-old </w:t>
      </w:r>
      <w:r>
        <w:rPr>
          <w:szCs w:val="22"/>
        </w:rPr>
        <w:t>wife, Brenda, is a stay-at-home mom, and Tom and Brenda would like to make a deductible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 for her.</w:t>
      </w:r>
      <w:r w:rsidR="00297ACB">
        <w:rPr>
          <w:szCs w:val="22"/>
        </w:rPr>
        <w:t xml:space="preserve"> </w:t>
      </w:r>
      <w:r>
        <w:rPr>
          <w:szCs w:val="22"/>
        </w:rPr>
        <w:t>Although the maximum deductible contribution that can be made for the</w:t>
      </w:r>
      <w:r w:rsidR="00E70356">
        <w:rPr>
          <w:szCs w:val="22"/>
        </w:rPr>
        <w:t xml:space="preserve"> non-working spouse of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00E70356">
        <w:rPr>
          <w:szCs w:val="22"/>
        </w:rPr>
        <w:t xml:space="preserve"> </w:t>
      </w:r>
      <w:r w:rsidR="00E70356">
        <w:rPr>
          <w:i/>
          <w:szCs w:val="22"/>
        </w:rPr>
        <w:t>could</w:t>
      </w:r>
      <w:r w:rsidR="00E70356">
        <w:rPr>
          <w:szCs w:val="22"/>
        </w:rPr>
        <w:t xml:space="preserve"> be reduced, the deduction won’t be reduced in this case because the 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sidR="00E70356">
        <w:rPr>
          <w:szCs w:val="22"/>
        </w:rPr>
        <w:t xml:space="preserve"> </w:t>
      </w:r>
      <w:r w:rsidR="00E2151C">
        <w:rPr>
          <w:szCs w:val="22"/>
        </w:rPr>
        <w:t>in 20</w:t>
      </w:r>
      <w:r w:rsidR="00B450CC">
        <w:rPr>
          <w:szCs w:val="22"/>
        </w:rPr>
        <w:t>1</w:t>
      </w:r>
      <w:r w:rsidR="00F054D1">
        <w:rPr>
          <w:szCs w:val="22"/>
        </w:rPr>
        <w:t>5</w:t>
      </w:r>
      <w:r w:rsidR="00E2151C">
        <w:rPr>
          <w:szCs w:val="22"/>
        </w:rPr>
        <w:t xml:space="preserve"> </w:t>
      </w:r>
      <w:r w:rsidR="00E70356">
        <w:rPr>
          <w:szCs w:val="22"/>
        </w:rPr>
        <w:t>for a non-working spouse of an active participant</w:t>
      </w:r>
      <w:r w:rsidR="00A95039">
        <w:rPr>
          <w:szCs w:val="22"/>
        </w:rPr>
        <w:fldChar w:fldCharType="begin"/>
      </w:r>
      <w:r w:rsidR="00293611">
        <w:instrText xml:space="preserve"> XE "</w:instrText>
      </w:r>
      <w:r w:rsidR="00293611" w:rsidRPr="00CD56BD">
        <w:rPr>
          <w:szCs w:val="22"/>
        </w:rPr>
        <w:instrText>non-working spouse of an active participant</w:instrText>
      </w:r>
      <w:r w:rsidR="00293611">
        <w:instrText xml:space="preserve">" </w:instrText>
      </w:r>
      <w:r w:rsidR="00A95039">
        <w:rPr>
          <w:szCs w:val="22"/>
        </w:rPr>
        <w:fldChar w:fldCharType="end"/>
      </w:r>
      <w:r w:rsidR="00E70356">
        <w:rPr>
          <w:szCs w:val="22"/>
        </w:rPr>
        <w:t xml:space="preserve"> is $</w:t>
      </w:r>
      <w:r w:rsidR="004E1B01">
        <w:rPr>
          <w:szCs w:val="22"/>
        </w:rPr>
        <w:t>1</w:t>
      </w:r>
      <w:r w:rsidR="000C109B">
        <w:rPr>
          <w:szCs w:val="22"/>
        </w:rPr>
        <w:t>81</w:t>
      </w:r>
      <w:r w:rsidR="004E1B01">
        <w:rPr>
          <w:szCs w:val="22"/>
        </w:rPr>
        <w:t>,000</w:t>
      </w:r>
      <w:r w:rsidR="00966B60">
        <w:rPr>
          <w:szCs w:val="22"/>
        </w:rPr>
        <w:t>, meaning that Tom’s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966B60">
        <w:rPr>
          <w:szCs w:val="22"/>
        </w:rPr>
        <w:t xml:space="preserve"> would need to be more than $</w:t>
      </w:r>
      <w:r w:rsidR="004E1B01">
        <w:rPr>
          <w:szCs w:val="22"/>
        </w:rPr>
        <w:t>1</w:t>
      </w:r>
      <w:r w:rsidR="000C109B">
        <w:rPr>
          <w:szCs w:val="22"/>
        </w:rPr>
        <w:t>8</w:t>
      </w:r>
      <w:r w:rsidR="00F054D1">
        <w:rPr>
          <w:szCs w:val="22"/>
        </w:rPr>
        <w:t>3</w:t>
      </w:r>
      <w:r w:rsidR="004E1B01">
        <w:rPr>
          <w:szCs w:val="22"/>
        </w:rPr>
        <w:t>,000</w:t>
      </w:r>
      <w:r w:rsidR="00966B60">
        <w:rPr>
          <w:szCs w:val="22"/>
        </w:rPr>
        <w:t xml:space="preserve"> to affect her deductibility</w:t>
      </w:r>
      <w:r w:rsidR="00E70356">
        <w:rPr>
          <w:szCs w:val="22"/>
        </w:rPr>
        <w:t>.</w:t>
      </w:r>
      <w:r w:rsidR="00297ACB">
        <w:rPr>
          <w:szCs w:val="22"/>
        </w:rPr>
        <w:t xml:space="preserve"> </w:t>
      </w:r>
      <w:r w:rsidR="00851BAA">
        <w:rPr>
          <w:szCs w:val="22"/>
        </w:rPr>
        <w:t xml:space="preserve">The formula into which the numbers would be substituted in the case of a non-working spouse of an active participant is our first formula. </w:t>
      </w:r>
    </w:p>
    <w:p w14:paraId="656EEDDE" w14:textId="77777777" w:rsidR="0072210F" w:rsidRDefault="00E70356" w:rsidP="00B450CC">
      <w:pPr>
        <w:spacing w:before="120" w:after="0"/>
        <w:rPr>
          <w:szCs w:val="22"/>
        </w:rPr>
      </w:pPr>
      <w:r>
        <w:rPr>
          <w:szCs w:val="22"/>
        </w:rPr>
        <w:t xml:space="preserve">By applying Tom’s AGI and the maximum contribution to the formula, we can see that a maximum </w:t>
      </w:r>
      <w:r w:rsidR="00F054D1">
        <w:rPr>
          <w:szCs w:val="22"/>
        </w:rPr>
        <w:t xml:space="preserve">traditional IRA </w:t>
      </w:r>
      <w:r>
        <w:rPr>
          <w:szCs w:val="22"/>
        </w:rPr>
        <w:t>contribution for Brenda is completely deductible:</w:t>
      </w:r>
    </w:p>
    <w:p w14:paraId="6BA83A68" w14:textId="77777777" w:rsidR="00451D3E" w:rsidRDefault="00451D3E" w:rsidP="00451D3E">
      <w:pPr>
        <w:spacing w:after="0"/>
        <w:rPr>
          <w:szCs w:val="22"/>
        </w:rPr>
      </w:pPr>
    </w:p>
    <w:tbl>
      <w:tblPr>
        <w:tblW w:w="0" w:type="auto"/>
        <w:jc w:val="center"/>
        <w:tblLayout w:type="fixed"/>
        <w:tblLook w:val="01E0" w:firstRow="1" w:lastRow="1" w:firstColumn="1" w:lastColumn="1" w:noHBand="0" w:noVBand="0"/>
      </w:tblPr>
      <w:tblGrid>
        <w:gridCol w:w="2338"/>
        <w:gridCol w:w="251"/>
        <w:gridCol w:w="2140"/>
        <w:gridCol w:w="316"/>
        <w:gridCol w:w="3013"/>
      </w:tblGrid>
      <w:tr w:rsidR="00E70356" w:rsidRPr="00C20C54" w14:paraId="016C5276" w14:textId="77777777" w:rsidTr="00DD4399">
        <w:trPr>
          <w:jc w:val="center"/>
        </w:trPr>
        <w:tc>
          <w:tcPr>
            <w:tcW w:w="2338" w:type="dxa"/>
          </w:tcPr>
          <w:p w14:paraId="2FD5A30A" w14:textId="77777777" w:rsidR="00E70356" w:rsidRPr="007A6E0D" w:rsidRDefault="00E70356" w:rsidP="006D389B">
            <w:pPr>
              <w:pStyle w:val="wTableNormal"/>
              <w:spacing w:before="160"/>
              <w:jc w:val="center"/>
            </w:pPr>
            <w:r w:rsidRPr="007A6E0D">
              <w:t>Reduction</w:t>
            </w:r>
            <w:r w:rsidR="00451D3E">
              <w:t xml:space="preserve"> </w:t>
            </w:r>
            <w:r w:rsidR="00861ABF" w:rsidRPr="007A6E0D">
              <w:t>of</w:t>
            </w:r>
            <w:r w:rsidR="00451D3E">
              <w:t xml:space="preserve"> </w:t>
            </w:r>
            <w:r w:rsidRPr="007A6E0D">
              <w:t>Deduction</w:t>
            </w:r>
          </w:p>
        </w:tc>
        <w:tc>
          <w:tcPr>
            <w:tcW w:w="251" w:type="dxa"/>
          </w:tcPr>
          <w:p w14:paraId="31DC88D5" w14:textId="77777777" w:rsidR="00E70356" w:rsidRPr="007A6E0D" w:rsidRDefault="00E70356" w:rsidP="006D389B">
            <w:pPr>
              <w:pStyle w:val="wTableNormal"/>
              <w:spacing w:before="160"/>
              <w:jc w:val="center"/>
            </w:pPr>
            <w:r w:rsidRPr="007A6E0D">
              <w:t>=</w:t>
            </w:r>
          </w:p>
        </w:tc>
        <w:tc>
          <w:tcPr>
            <w:tcW w:w="2140" w:type="dxa"/>
          </w:tcPr>
          <w:p w14:paraId="747A10D1" w14:textId="77777777" w:rsidR="00E70356" w:rsidRPr="007A6E0D" w:rsidRDefault="00E70356" w:rsidP="00DD4399">
            <w:pPr>
              <w:pStyle w:val="wTableNormal"/>
              <w:spacing w:before="160"/>
              <w:jc w:val="center"/>
            </w:pPr>
            <w:r w:rsidRPr="007A6E0D">
              <w:t xml:space="preserve">Maximum </w:t>
            </w:r>
            <w:r w:rsidR="00DD4399">
              <w:t>contribution</w:t>
            </w:r>
          </w:p>
        </w:tc>
        <w:tc>
          <w:tcPr>
            <w:tcW w:w="316" w:type="dxa"/>
          </w:tcPr>
          <w:p w14:paraId="09E42009" w14:textId="77777777" w:rsidR="00E70356" w:rsidRPr="007A6E0D" w:rsidRDefault="00451D3E" w:rsidP="006D389B">
            <w:pPr>
              <w:pStyle w:val="wTableNormal"/>
              <w:spacing w:before="160"/>
              <w:jc w:val="center"/>
            </w:pPr>
            <w:r>
              <w:t>x</w:t>
            </w:r>
          </w:p>
        </w:tc>
        <w:tc>
          <w:tcPr>
            <w:tcW w:w="3013" w:type="dxa"/>
          </w:tcPr>
          <w:p w14:paraId="0FADA15C" w14:textId="77777777" w:rsidR="00E70356" w:rsidRPr="007A6E0D" w:rsidRDefault="00E70356" w:rsidP="006D389B">
            <w:pPr>
              <w:pStyle w:val="wTableNormal"/>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131400B8" w14:textId="77777777" w:rsidR="00E70356" w:rsidRPr="007A6E0D" w:rsidRDefault="00E70356" w:rsidP="006D389B">
            <w:pPr>
              <w:pStyle w:val="wTableNormal"/>
              <w:jc w:val="center"/>
            </w:pPr>
            <w:r w:rsidRPr="007A6E0D">
              <w:t>$10,000</w:t>
            </w:r>
          </w:p>
        </w:tc>
      </w:tr>
    </w:tbl>
    <w:p w14:paraId="33A43483" w14:textId="77777777" w:rsidR="00661D04" w:rsidRDefault="00661D04" w:rsidP="00451D3E">
      <w:pPr>
        <w:spacing w:after="0"/>
        <w:rPr>
          <w:szCs w:val="22"/>
        </w:rPr>
      </w:pPr>
    </w:p>
    <w:tbl>
      <w:tblPr>
        <w:tblW w:w="0" w:type="auto"/>
        <w:tblInd w:w="2528" w:type="dxa"/>
        <w:tblLayout w:type="fixed"/>
        <w:tblLook w:val="01E0" w:firstRow="1" w:lastRow="1" w:firstColumn="1" w:lastColumn="1" w:noHBand="0" w:noVBand="0"/>
      </w:tblPr>
      <w:tblGrid>
        <w:gridCol w:w="770"/>
        <w:gridCol w:w="330"/>
        <w:gridCol w:w="1101"/>
        <w:gridCol w:w="316"/>
        <w:gridCol w:w="2873"/>
      </w:tblGrid>
      <w:tr w:rsidR="00451D3E" w:rsidRPr="007A6E0D" w14:paraId="5FC44BB2" w14:textId="77777777" w:rsidTr="006D389B">
        <w:tc>
          <w:tcPr>
            <w:tcW w:w="770" w:type="dxa"/>
          </w:tcPr>
          <w:p w14:paraId="3D7F4F8C" w14:textId="77777777" w:rsidR="00451D3E" w:rsidRPr="007A6E0D" w:rsidRDefault="00451D3E" w:rsidP="006D389B">
            <w:pPr>
              <w:pStyle w:val="wTableNormal"/>
              <w:spacing w:before="160"/>
              <w:jc w:val="center"/>
            </w:pPr>
            <w:r w:rsidRPr="007A6E0D">
              <w:t>$0</w:t>
            </w:r>
          </w:p>
        </w:tc>
        <w:tc>
          <w:tcPr>
            <w:tcW w:w="330" w:type="dxa"/>
          </w:tcPr>
          <w:p w14:paraId="581B778D" w14:textId="77777777" w:rsidR="00451D3E" w:rsidRPr="007A6E0D" w:rsidRDefault="00451D3E" w:rsidP="006D389B">
            <w:pPr>
              <w:pStyle w:val="wTableNormal"/>
              <w:spacing w:before="160"/>
              <w:jc w:val="center"/>
            </w:pPr>
            <w:r w:rsidRPr="007A6E0D">
              <w:t>=</w:t>
            </w:r>
          </w:p>
        </w:tc>
        <w:tc>
          <w:tcPr>
            <w:tcW w:w="1101" w:type="dxa"/>
          </w:tcPr>
          <w:p w14:paraId="30C63B88" w14:textId="77777777" w:rsidR="00451D3E" w:rsidRPr="007A6E0D" w:rsidRDefault="001B5829" w:rsidP="008E4E3B">
            <w:pPr>
              <w:pStyle w:val="wTableNormal"/>
              <w:spacing w:before="160"/>
              <w:jc w:val="center"/>
            </w:pPr>
            <w:r>
              <w:t>$</w:t>
            </w:r>
            <w:r w:rsidR="00E2151C">
              <w:t>5</w:t>
            </w:r>
            <w:r w:rsidR="00451D3E" w:rsidRPr="007A6E0D">
              <w:t>,</w:t>
            </w:r>
            <w:r w:rsidR="008E4E3B">
              <w:t>5</w:t>
            </w:r>
            <w:r w:rsidR="00451D3E" w:rsidRPr="007A6E0D">
              <w:t>00</w:t>
            </w:r>
          </w:p>
        </w:tc>
        <w:tc>
          <w:tcPr>
            <w:tcW w:w="316" w:type="dxa"/>
          </w:tcPr>
          <w:p w14:paraId="3FE6AC0B" w14:textId="77777777" w:rsidR="00451D3E" w:rsidRPr="007A6E0D" w:rsidRDefault="00451D3E" w:rsidP="006D389B">
            <w:pPr>
              <w:pStyle w:val="wTableNormal"/>
              <w:spacing w:before="160"/>
              <w:jc w:val="center"/>
            </w:pPr>
            <w:r>
              <w:t>x</w:t>
            </w:r>
          </w:p>
        </w:tc>
        <w:tc>
          <w:tcPr>
            <w:tcW w:w="2873" w:type="dxa"/>
          </w:tcPr>
          <w:p w14:paraId="0F630175" w14:textId="77777777" w:rsidR="00451D3E" w:rsidRPr="007A6E0D" w:rsidRDefault="00A056C5" w:rsidP="006D389B">
            <w:pPr>
              <w:pStyle w:val="wTableNormal"/>
              <w:jc w:val="center"/>
            </w:pPr>
            <w:r w:rsidRPr="006D389B">
              <w:rPr>
                <w:u w:val="single"/>
              </w:rPr>
              <w:t>$</w:t>
            </w:r>
            <w:r w:rsidR="008E4E3B">
              <w:rPr>
                <w:u w:val="single"/>
              </w:rPr>
              <w:t>10</w:t>
            </w:r>
            <w:r w:rsidR="00F054D1">
              <w:rPr>
                <w:u w:val="single"/>
              </w:rPr>
              <w:t>3</w:t>
            </w:r>
            <w:r w:rsidR="00451D3E" w:rsidRPr="006D389B">
              <w:rPr>
                <w:u w:val="single"/>
              </w:rPr>
              <w:t>,000 – 1</w:t>
            </w:r>
            <w:r w:rsidR="000C109B">
              <w:rPr>
                <w:u w:val="single"/>
              </w:rPr>
              <w:t>8</w:t>
            </w:r>
            <w:r w:rsidR="00F054D1">
              <w:rPr>
                <w:u w:val="single"/>
              </w:rPr>
              <w:t>3</w:t>
            </w:r>
            <w:r w:rsidR="00451D3E" w:rsidRPr="006D389B">
              <w:rPr>
                <w:u w:val="single"/>
              </w:rPr>
              <w:t>,000</w:t>
            </w:r>
          </w:p>
          <w:p w14:paraId="643BA8B6" w14:textId="77777777" w:rsidR="00451D3E" w:rsidRPr="007A6E0D" w:rsidRDefault="00451D3E" w:rsidP="006D389B">
            <w:pPr>
              <w:pStyle w:val="wTableNormal"/>
              <w:jc w:val="center"/>
            </w:pPr>
            <w:r w:rsidRPr="007A6E0D">
              <w:t>$10,000</w:t>
            </w:r>
          </w:p>
        </w:tc>
      </w:tr>
    </w:tbl>
    <w:p w14:paraId="0898D5FE" w14:textId="77777777" w:rsidR="00451D3E" w:rsidRDefault="00451D3E" w:rsidP="00451D3E">
      <w:pPr>
        <w:spacing w:after="0"/>
        <w:rPr>
          <w:szCs w:val="22"/>
        </w:rPr>
      </w:pPr>
    </w:p>
    <w:p w14:paraId="6A561B15" w14:textId="77777777" w:rsidR="00434CE0" w:rsidRDefault="00434CE0" w:rsidP="00825E0B">
      <w:pPr>
        <w:rPr>
          <w:szCs w:val="22"/>
        </w:rPr>
      </w:pPr>
      <w:r w:rsidRPr="000B485C">
        <w:rPr>
          <w:szCs w:val="22"/>
        </w:rPr>
        <w:t>Notice that the formula you’re looking at is NOT a formula for determining the tax-deductibility of a</w:t>
      </w:r>
      <w:r w:rsidR="00F054D1">
        <w:rPr>
          <w:szCs w:val="22"/>
        </w:rPr>
        <w:t xml:space="preserve"> traditional IRA</w:t>
      </w:r>
      <w:r w:rsidRPr="000B485C">
        <w:rPr>
          <w:szCs w:val="22"/>
        </w:rPr>
        <w:t xml:space="preserve"> contribution.</w:t>
      </w:r>
      <w:r w:rsidR="00297ACB">
        <w:rPr>
          <w:szCs w:val="22"/>
        </w:rPr>
        <w:t xml:space="preserve"> </w:t>
      </w:r>
      <w:r w:rsidRPr="000B485C">
        <w:rPr>
          <w:szCs w:val="22"/>
        </w:rPr>
        <w:t>It is the formula for determining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Pr="000B485C">
        <w:rPr>
          <w:szCs w:val="22"/>
        </w:rPr>
        <w:t xml:space="preserve">’s </w:t>
      </w:r>
      <w:r w:rsidR="00E2151C">
        <w:rPr>
          <w:szCs w:val="22"/>
        </w:rPr>
        <w:t xml:space="preserve">(or spouse’s) </w:t>
      </w:r>
      <w:r w:rsidRPr="000B485C">
        <w:rPr>
          <w:szCs w:val="22"/>
        </w:rPr>
        <w:t>REDUCTION in his or her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deductibility.</w:t>
      </w:r>
      <w:r w:rsidR="00297ACB">
        <w:rPr>
          <w:i/>
          <w:szCs w:val="22"/>
        </w:rPr>
        <w:t xml:space="preserve"> </w:t>
      </w:r>
      <w:r w:rsidRPr="000B485C">
        <w:rPr>
          <w:szCs w:val="22"/>
        </w:rPr>
        <w:t xml:space="preserve">We will see later that if </w:t>
      </w:r>
      <w:r w:rsidR="00966B60">
        <w:rPr>
          <w:szCs w:val="22"/>
        </w:rPr>
        <w:t>an individual’s contribution is not tax deductible, he or she should p</w:t>
      </w:r>
      <w:r w:rsidRPr="000B485C">
        <w:rPr>
          <w:szCs w:val="22"/>
        </w:rPr>
        <w:t xml:space="preserve">robably </w:t>
      </w:r>
      <w:r w:rsidR="00966B60">
        <w:rPr>
          <w:szCs w:val="22"/>
        </w:rPr>
        <w:t>be</w:t>
      </w:r>
      <w:r w:rsidRPr="000B485C">
        <w:rPr>
          <w:szCs w:val="22"/>
        </w:rPr>
        <w:t xml:space="preserve"> advise</w:t>
      </w:r>
      <w:r w:rsidR="00966B60">
        <w:rPr>
          <w:szCs w:val="22"/>
        </w:rPr>
        <w:t>d</w:t>
      </w:r>
      <w:r w:rsidRPr="000B485C">
        <w:rPr>
          <w:szCs w:val="22"/>
        </w:rPr>
        <w:t xml:space="preserve"> </w:t>
      </w:r>
      <w:r w:rsidR="00966B60">
        <w:rPr>
          <w:szCs w:val="22"/>
        </w:rPr>
        <w:t>to place the</w:t>
      </w:r>
      <w:r w:rsidRPr="000B485C">
        <w:rPr>
          <w:szCs w:val="22"/>
        </w:rPr>
        <w:t xml:space="preserve"> non-deductible </w:t>
      </w:r>
      <w:r w:rsidR="00966B60">
        <w:rPr>
          <w:szCs w:val="22"/>
        </w:rPr>
        <w:t>contribution</w:t>
      </w:r>
      <w:r w:rsidRPr="000B485C">
        <w:rPr>
          <w:szCs w:val="22"/>
        </w:rPr>
        <w:t xml:space="preserve"> into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rather than make a non-deductible contribution to a traditional IRA.</w:t>
      </w:r>
      <w:r w:rsidR="00297ACB">
        <w:rPr>
          <w:szCs w:val="22"/>
        </w:rPr>
        <w:t xml:space="preserve"> </w:t>
      </w:r>
      <w:r w:rsidR="00966B60">
        <w:rPr>
          <w:szCs w:val="22"/>
        </w:rPr>
        <w:t>As we will discuss when we examine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966B60">
        <w:rPr>
          <w:szCs w:val="22"/>
        </w:rPr>
        <w:t xml:space="preserve">, </w:t>
      </w:r>
      <w:r w:rsidR="006A7028">
        <w:rPr>
          <w:szCs w:val="22"/>
        </w:rPr>
        <w:t>that alternative is generally more desirable than making non-deductible traditional IRA contributions.</w:t>
      </w:r>
    </w:p>
    <w:p w14:paraId="0459DC1C" w14:textId="77777777" w:rsidR="00B450CC" w:rsidRPr="000B485C" w:rsidRDefault="00B450CC" w:rsidP="00825E0B">
      <w:pPr>
        <w:rPr>
          <w:szCs w:val="22"/>
        </w:rPr>
      </w:pPr>
      <w:r>
        <w:t xml:space="preserve">Furthermore, it is important to understand that active participation in an employer plan does not affect an individual’s ability to </w:t>
      </w:r>
      <w:r>
        <w:rPr>
          <w:i/>
        </w:rPr>
        <w:t xml:space="preserve">contribute </w:t>
      </w:r>
      <w:r>
        <w:t>to a</w:t>
      </w:r>
      <w:r w:rsidR="00F054D1">
        <w:t xml:space="preserve"> traditional</w:t>
      </w:r>
      <w:r>
        <w:t xml:space="preserve"> IRA nor does it lessen the allowable amount that may be contributed. Active participation affects and may reduce the </w:t>
      </w:r>
      <w:r>
        <w:rPr>
          <w:i/>
        </w:rPr>
        <w:t xml:space="preserve">deductibility </w:t>
      </w:r>
      <w:r>
        <w:t>of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contributions.</w:t>
      </w:r>
    </w:p>
    <w:p w14:paraId="065DCBBB" w14:textId="77777777" w:rsidR="00434CE0" w:rsidRPr="000B485C" w:rsidRDefault="006A7028" w:rsidP="00825E0B">
      <w:pPr>
        <w:rPr>
          <w:szCs w:val="22"/>
        </w:rPr>
      </w:pPr>
      <w:r>
        <w:rPr>
          <w:szCs w:val="22"/>
        </w:rPr>
        <w:t>Some married individuals may choose to file separate federal income tax returns.</w:t>
      </w:r>
      <w:r w:rsidR="00297ACB">
        <w:rPr>
          <w:szCs w:val="22"/>
        </w:rPr>
        <w:t xml:space="preserve"> </w:t>
      </w:r>
      <w:r>
        <w:rPr>
          <w:szCs w:val="22"/>
        </w:rPr>
        <w:t>Doing that, however, has an adverse effect on the deductibility of the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’s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w:t>
      </w:r>
      <w:r w:rsidR="00297ACB">
        <w:rPr>
          <w:szCs w:val="22"/>
        </w:rPr>
        <w:t xml:space="preserve"> </w:t>
      </w:r>
      <w:r>
        <w:rPr>
          <w:szCs w:val="22"/>
        </w:rPr>
        <w:t>I</w:t>
      </w:r>
      <w:r w:rsidR="00434CE0" w:rsidRPr="000B485C">
        <w:rPr>
          <w:szCs w:val="22"/>
        </w:rPr>
        <w:t xml:space="preserve">f </w:t>
      </w:r>
      <w:r>
        <w:rPr>
          <w:szCs w:val="22"/>
        </w:rPr>
        <w:t>a married individual</w:t>
      </w:r>
      <w:r w:rsidR="00434CE0" w:rsidRPr="000B485C">
        <w:rPr>
          <w:szCs w:val="22"/>
        </w:rPr>
        <w:t xml:space="preserve"> file</w:t>
      </w:r>
      <w:r>
        <w:rPr>
          <w:szCs w:val="22"/>
        </w:rPr>
        <w:t>s a separate return, his or her 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sidR="00434CE0" w:rsidRPr="000B485C">
        <w:rPr>
          <w:szCs w:val="22"/>
        </w:rPr>
        <w:t xml:space="preserve"> is zero.</w:t>
      </w:r>
      <w:r w:rsidR="00297ACB">
        <w:rPr>
          <w:szCs w:val="22"/>
        </w:rPr>
        <w:t xml:space="preserve"> </w:t>
      </w:r>
      <w:r w:rsidR="00434CE0" w:rsidRPr="000B485C">
        <w:rPr>
          <w:szCs w:val="22"/>
        </w:rPr>
        <w:t>What that mean</w:t>
      </w:r>
      <w:r>
        <w:rPr>
          <w:szCs w:val="22"/>
        </w:rPr>
        <w:t>s</w:t>
      </w:r>
      <w:r w:rsidR="00434CE0" w:rsidRPr="000B485C">
        <w:rPr>
          <w:szCs w:val="22"/>
        </w:rPr>
        <w:t xml:space="preserve"> in term</w:t>
      </w:r>
      <w:r>
        <w:rPr>
          <w:szCs w:val="22"/>
        </w:rPr>
        <w:t>s of the tax deductibility of a traditional</w:t>
      </w:r>
      <w:r w:rsidR="00434CE0" w:rsidRPr="000B485C">
        <w:rPr>
          <w:szCs w:val="22"/>
        </w:rPr>
        <w:t xml:space="preserve"> IRA contribution for an active participant</w:t>
      </w:r>
      <w:r>
        <w:rPr>
          <w:szCs w:val="22"/>
        </w:rPr>
        <w:t xml:space="preserve"> is that the i</w:t>
      </w:r>
      <w:r w:rsidR="00434CE0" w:rsidRPr="000B485C">
        <w:rPr>
          <w:szCs w:val="22"/>
        </w:rPr>
        <w:t>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434CE0" w:rsidRPr="000B485C">
        <w:rPr>
          <w:szCs w:val="22"/>
        </w:rPr>
        <w:t xml:space="preserve"> must be less than $10,000 or all deductibility is lost</w:t>
      </w:r>
      <w:r>
        <w:rPr>
          <w:szCs w:val="22"/>
        </w:rPr>
        <w:t>.</w:t>
      </w:r>
      <w:r w:rsidR="00297ACB">
        <w:rPr>
          <w:szCs w:val="22"/>
        </w:rPr>
        <w:t xml:space="preserve"> </w:t>
      </w:r>
      <w:r w:rsidR="00434CE0" w:rsidRPr="000B485C">
        <w:rPr>
          <w:szCs w:val="22"/>
        </w:rPr>
        <w:t xml:space="preserve">It is important to remember that, unlike certain tax deductions such </w:t>
      </w:r>
      <w:r>
        <w:rPr>
          <w:szCs w:val="22"/>
        </w:rPr>
        <w:t>as state taxes paid, an individual</w:t>
      </w:r>
      <w:r w:rsidR="00434CE0" w:rsidRPr="000B485C">
        <w:rPr>
          <w:szCs w:val="22"/>
        </w:rPr>
        <w:t xml:space="preserve"> does not need to itemize his or her deductions in order to enjoy a tax deduction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sidR="00434CE0" w:rsidRPr="000B485C">
        <w:rPr>
          <w:szCs w:val="22"/>
        </w:rPr>
        <w:t xml:space="preserve"> for a traditional IRA contribution.</w:t>
      </w:r>
    </w:p>
    <w:p w14:paraId="575D8931" w14:textId="77777777" w:rsidR="005D116F" w:rsidRDefault="000C109B">
      <w:pPr>
        <w:pStyle w:val="Heading4"/>
      </w:pPr>
      <w:bookmarkStart w:id="27" w:name="_Toc404357145"/>
      <w:r>
        <w:lastRenderedPageBreak/>
        <w:t>Tax Credits</w:t>
      </w:r>
      <w:bookmarkEnd w:id="27"/>
    </w:p>
    <w:p w14:paraId="3A6508D9" w14:textId="77777777" w:rsidR="00E35A99" w:rsidRDefault="006A7028" w:rsidP="00825E0B">
      <w:pPr>
        <w:rPr>
          <w:szCs w:val="22"/>
        </w:rPr>
      </w:pPr>
      <w:r>
        <w:rPr>
          <w:szCs w:val="22"/>
        </w:rPr>
        <w:t>EGTRRA has brought about an additional tax incentive to make an IRA</w:t>
      </w:r>
      <w:r w:rsidR="00E35A99">
        <w:rPr>
          <w:szCs w:val="22"/>
        </w:rPr>
        <w:t xml:space="preserve"> contribution</w:t>
      </w:r>
      <w:r>
        <w:rPr>
          <w:szCs w:val="22"/>
        </w:rPr>
        <w:t>—</w:t>
      </w:r>
      <w:r w:rsidR="00E35A99">
        <w:rPr>
          <w:szCs w:val="22"/>
        </w:rPr>
        <w:t xml:space="preserve">to </w:t>
      </w:r>
      <w:r>
        <w:rPr>
          <w:szCs w:val="22"/>
        </w:rPr>
        <w:t>either a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w:t>
      </w:r>
      <w:r w:rsidR="00E35A99">
        <w:rPr>
          <w:szCs w:val="22"/>
        </w:rPr>
        <w:t>for</w:t>
      </w:r>
      <w:r w:rsidR="00437459">
        <w:rPr>
          <w:szCs w:val="22"/>
        </w:rPr>
        <w:t xml:space="preserve"> </w:t>
      </w:r>
      <w:r w:rsidR="00E35A99">
        <w:rPr>
          <w:szCs w:val="22"/>
        </w:rPr>
        <w:t xml:space="preserve">some </w:t>
      </w:r>
      <w:r w:rsidR="00437459">
        <w:rPr>
          <w:szCs w:val="22"/>
        </w:rPr>
        <w:t>lower-income individuals.</w:t>
      </w:r>
      <w:r w:rsidR="00297ACB">
        <w:rPr>
          <w:szCs w:val="22"/>
        </w:rPr>
        <w:t xml:space="preserve"> </w:t>
      </w:r>
      <w:r w:rsidR="00E35A99">
        <w:rPr>
          <w:szCs w:val="22"/>
        </w:rPr>
        <w:t>IRA contributions by individuals who meet certain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E35A99">
        <w:rPr>
          <w:szCs w:val="22"/>
        </w:rPr>
        <w:t xml:space="preserve"> criteria</w:t>
      </w:r>
      <w:r w:rsidR="00E35A99" w:rsidRPr="00E35A99">
        <w:rPr>
          <w:szCs w:val="22"/>
        </w:rPr>
        <w:t xml:space="preserve"> </w:t>
      </w:r>
      <w:r w:rsidR="00E35A99">
        <w:rPr>
          <w:szCs w:val="22"/>
        </w:rPr>
        <w:t xml:space="preserve">result in a tax credit </w:t>
      </w:r>
      <w:r w:rsidR="00E35A99">
        <w:rPr>
          <w:i/>
          <w:szCs w:val="22"/>
        </w:rPr>
        <w:t>in addition to</w:t>
      </w:r>
      <w:r w:rsidR="00E35A99">
        <w:rPr>
          <w:szCs w:val="22"/>
        </w:rPr>
        <w:t xml:space="preserve"> any other tax advantages.</w:t>
      </w:r>
    </w:p>
    <w:p w14:paraId="511143D3" w14:textId="77777777" w:rsidR="006A7028" w:rsidRDefault="00E35A99" w:rsidP="00825E0B">
      <w:pPr>
        <w:rPr>
          <w:szCs w:val="22"/>
        </w:rPr>
      </w:pPr>
      <w:r>
        <w:rPr>
          <w:szCs w:val="22"/>
        </w:rPr>
        <w:t xml:space="preserve">The tax credit is a </w:t>
      </w:r>
      <w:r>
        <w:rPr>
          <w:i/>
          <w:szCs w:val="22"/>
        </w:rPr>
        <w:t>nonrefundable</w:t>
      </w:r>
      <w:r>
        <w:rPr>
          <w:szCs w:val="22"/>
        </w:rPr>
        <w:t xml:space="preserve"> credit </w:t>
      </w:r>
      <w:r w:rsidR="0091190B">
        <w:rPr>
          <w:szCs w:val="22"/>
        </w:rPr>
        <w:t>that is limited to the applicable percentage of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91190B">
        <w:rPr>
          <w:szCs w:val="22"/>
        </w:rPr>
        <w:t xml:space="preserve"> contributions up to $2,000.</w:t>
      </w:r>
      <w:r w:rsidR="00297ACB">
        <w:rPr>
          <w:szCs w:val="22"/>
        </w:rPr>
        <w:t xml:space="preserve"> </w:t>
      </w:r>
      <w:r w:rsidR="0091190B">
        <w:rPr>
          <w:szCs w:val="22"/>
        </w:rPr>
        <w:t>A nonrefundable tax credit</w:t>
      </w:r>
      <w:r w:rsidR="00A95039">
        <w:rPr>
          <w:szCs w:val="22"/>
        </w:rPr>
        <w:fldChar w:fldCharType="begin"/>
      </w:r>
      <w:r w:rsidR="00293611">
        <w:instrText xml:space="preserve"> XE "</w:instrText>
      </w:r>
      <w:r w:rsidR="00293611" w:rsidRPr="00CD56BD">
        <w:rPr>
          <w:szCs w:val="22"/>
        </w:rPr>
        <w:instrText>nonrefundable tax credit</w:instrText>
      </w:r>
      <w:r w:rsidR="00293611">
        <w:instrText xml:space="preserve">" </w:instrText>
      </w:r>
      <w:r w:rsidR="00A95039">
        <w:rPr>
          <w:szCs w:val="22"/>
        </w:rPr>
        <w:fldChar w:fldCharType="end"/>
      </w:r>
      <w:r w:rsidR="0091190B">
        <w:rPr>
          <w:szCs w:val="22"/>
        </w:rPr>
        <w:t xml:space="preserve"> is a tax credit that is limited by the individual’s tax liability and acts to reduce the amount of federal income tax payable.</w:t>
      </w:r>
      <w:r w:rsidR="00297ACB">
        <w:rPr>
          <w:szCs w:val="22"/>
        </w:rPr>
        <w:t xml:space="preserve"> </w:t>
      </w:r>
      <w:r w:rsidR="0091190B">
        <w:rPr>
          <w:szCs w:val="22"/>
        </w:rPr>
        <w:t>If an individual has no income tax liability, or has an income tax liability that is less than the tax credit, a nonrefundable tax credit will not result in a payment from the federal government.</w:t>
      </w:r>
    </w:p>
    <w:p w14:paraId="1E63CB13" w14:textId="77777777" w:rsidR="0091190B" w:rsidRDefault="0004458A" w:rsidP="000C109B">
      <w:pPr>
        <w:rPr>
          <w:szCs w:val="22"/>
        </w:rPr>
      </w:pPr>
      <w:r>
        <w:rPr>
          <w:szCs w:val="22"/>
        </w:rPr>
        <w:t>The percentage of the IRA contribution (up to $2,000 per individual) that is available as a tax credit depends upon the individual’s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and his or her tax filing status.</w:t>
      </w:r>
      <w:r w:rsidR="00297ACB">
        <w:rPr>
          <w:szCs w:val="22"/>
        </w:rPr>
        <w:t xml:space="preserve"> </w:t>
      </w:r>
      <w:r>
        <w:rPr>
          <w:szCs w:val="22"/>
        </w:rPr>
        <w:t>The applicable percentages are as shown below:</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3"/>
        <w:gridCol w:w="990"/>
        <w:gridCol w:w="1430"/>
        <w:gridCol w:w="1430"/>
        <w:gridCol w:w="1044"/>
        <w:gridCol w:w="1210"/>
        <w:gridCol w:w="1407"/>
      </w:tblGrid>
      <w:tr w:rsidR="00105397" w14:paraId="3D2A1541" w14:textId="77777777" w:rsidTr="006D389B">
        <w:trPr>
          <w:trHeight w:val="357"/>
          <w:jc w:val="center"/>
        </w:trPr>
        <w:tc>
          <w:tcPr>
            <w:tcW w:w="8774" w:type="dxa"/>
            <w:gridSpan w:val="7"/>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5724E13" w14:textId="77777777" w:rsidR="0004458A" w:rsidRPr="006D389B" w:rsidRDefault="00105397" w:rsidP="00105397">
            <w:pPr>
              <w:pStyle w:val="WTableHeaderChar"/>
              <w:rPr>
                <w:szCs w:val="22"/>
              </w:rPr>
            </w:pPr>
            <w:r w:rsidRPr="00252943">
              <w:t>Adjusted Gross Income</w:t>
            </w:r>
            <w:r w:rsidR="00E2151C">
              <w:rPr>
                <w:rStyle w:val="FootnoteReference"/>
              </w:rPr>
              <w:footnoteReference w:id="1"/>
            </w:r>
          </w:p>
        </w:tc>
      </w:tr>
      <w:tr w:rsidR="00105397" w:rsidRPr="006D389B" w14:paraId="52CCE904" w14:textId="77777777" w:rsidTr="006D389B">
        <w:trPr>
          <w:trHeight w:val="240"/>
          <w:jc w:val="center"/>
        </w:trPr>
        <w:tc>
          <w:tcPr>
            <w:tcW w:w="2253" w:type="dxa"/>
            <w:gridSpan w:val="2"/>
            <w:tcBorders>
              <w:bottom w:val="single" w:sz="6" w:space="0" w:color="auto"/>
              <w:right w:val="single" w:sz="6" w:space="0" w:color="auto"/>
            </w:tcBorders>
          </w:tcPr>
          <w:p w14:paraId="127E3D40" w14:textId="77777777" w:rsidR="00105397" w:rsidRPr="00252943" w:rsidRDefault="00105397" w:rsidP="0059512E">
            <w:pPr>
              <w:pStyle w:val="wTableSections"/>
            </w:pPr>
            <w:r w:rsidRPr="00252943">
              <w:t>Joint</w:t>
            </w:r>
            <w:r>
              <w:t xml:space="preserve"> </w:t>
            </w:r>
            <w:r w:rsidRPr="00252943">
              <w:t>Return</w:t>
            </w:r>
          </w:p>
        </w:tc>
        <w:tc>
          <w:tcPr>
            <w:tcW w:w="2860" w:type="dxa"/>
            <w:gridSpan w:val="2"/>
            <w:tcBorders>
              <w:left w:val="single" w:sz="6" w:space="0" w:color="auto"/>
              <w:bottom w:val="single" w:sz="6" w:space="0" w:color="auto"/>
              <w:right w:val="single" w:sz="6" w:space="0" w:color="auto"/>
            </w:tcBorders>
          </w:tcPr>
          <w:p w14:paraId="1000838A" w14:textId="77777777" w:rsidR="00105397" w:rsidRPr="00252943" w:rsidRDefault="00105397" w:rsidP="0059512E">
            <w:pPr>
              <w:pStyle w:val="wTableSections"/>
            </w:pPr>
            <w:r>
              <w:t xml:space="preserve">Head of </w:t>
            </w:r>
            <w:r w:rsidRPr="00252943">
              <w:t>Household</w:t>
            </w:r>
            <w:r>
              <w:t xml:space="preserve"> </w:t>
            </w:r>
            <w:r w:rsidRPr="00252943">
              <w:t>Return</w:t>
            </w:r>
          </w:p>
        </w:tc>
        <w:tc>
          <w:tcPr>
            <w:tcW w:w="2254" w:type="dxa"/>
            <w:gridSpan w:val="2"/>
            <w:tcBorders>
              <w:left w:val="single" w:sz="6" w:space="0" w:color="auto"/>
              <w:bottom w:val="single" w:sz="6" w:space="0" w:color="auto"/>
              <w:right w:val="single" w:sz="6" w:space="0" w:color="auto"/>
            </w:tcBorders>
          </w:tcPr>
          <w:p w14:paraId="7EC2FCF3" w14:textId="77777777" w:rsidR="00105397" w:rsidRPr="00252943" w:rsidRDefault="00105397" w:rsidP="0059512E">
            <w:pPr>
              <w:pStyle w:val="wTableSections"/>
            </w:pPr>
            <w:r w:rsidRPr="00252943">
              <w:t>All Other</w:t>
            </w:r>
            <w:r>
              <w:t xml:space="preserve"> </w:t>
            </w:r>
            <w:r w:rsidRPr="00252943">
              <w:t>Status</w:t>
            </w:r>
          </w:p>
        </w:tc>
        <w:tc>
          <w:tcPr>
            <w:tcW w:w="1407" w:type="dxa"/>
            <w:tcBorders>
              <w:left w:val="single" w:sz="6" w:space="0" w:color="auto"/>
              <w:bottom w:val="single" w:sz="6" w:space="0" w:color="auto"/>
            </w:tcBorders>
          </w:tcPr>
          <w:p w14:paraId="196F02D8" w14:textId="77777777" w:rsidR="00105397" w:rsidRPr="00252943" w:rsidRDefault="00105397" w:rsidP="0059512E">
            <w:pPr>
              <w:pStyle w:val="wTableSections"/>
            </w:pPr>
            <w:r w:rsidRPr="00252943">
              <w:t>Applicable</w:t>
            </w:r>
          </w:p>
        </w:tc>
      </w:tr>
      <w:tr w:rsidR="00FF0E9F" w:rsidRPr="006D389B" w14:paraId="6ED9812D" w14:textId="77777777" w:rsidTr="006D389B">
        <w:trPr>
          <w:jc w:val="center"/>
        </w:trPr>
        <w:tc>
          <w:tcPr>
            <w:tcW w:w="1263" w:type="dxa"/>
            <w:tcBorders>
              <w:top w:val="single" w:sz="6" w:space="0" w:color="auto"/>
              <w:bottom w:val="single" w:sz="6" w:space="0" w:color="auto"/>
              <w:right w:val="single" w:sz="6" w:space="0" w:color="auto"/>
            </w:tcBorders>
          </w:tcPr>
          <w:p w14:paraId="1A142269" w14:textId="77777777" w:rsidR="0004458A" w:rsidRPr="006753CA" w:rsidRDefault="0004458A" w:rsidP="006D389B">
            <w:pPr>
              <w:pStyle w:val="wTableNormal"/>
              <w:jc w:val="center"/>
            </w:pPr>
            <w:r w:rsidRPr="006753CA">
              <w:t>Over</w:t>
            </w:r>
          </w:p>
        </w:tc>
        <w:tc>
          <w:tcPr>
            <w:tcW w:w="990" w:type="dxa"/>
            <w:tcBorders>
              <w:top w:val="single" w:sz="6" w:space="0" w:color="auto"/>
              <w:left w:val="single" w:sz="6" w:space="0" w:color="auto"/>
              <w:bottom w:val="single" w:sz="6" w:space="0" w:color="auto"/>
              <w:right w:val="single" w:sz="6" w:space="0" w:color="auto"/>
            </w:tcBorders>
          </w:tcPr>
          <w:p w14:paraId="1178D576" w14:textId="77777777" w:rsidR="0004458A" w:rsidRPr="006753CA" w:rsidRDefault="0004458A" w:rsidP="006D389B">
            <w:pPr>
              <w:pStyle w:val="wTableNormal"/>
              <w:jc w:val="center"/>
            </w:pPr>
            <w:r w:rsidRPr="006753CA">
              <w:t>Not over</w:t>
            </w:r>
          </w:p>
        </w:tc>
        <w:tc>
          <w:tcPr>
            <w:tcW w:w="1430" w:type="dxa"/>
            <w:tcBorders>
              <w:top w:val="single" w:sz="6" w:space="0" w:color="auto"/>
              <w:left w:val="single" w:sz="6" w:space="0" w:color="auto"/>
              <w:bottom w:val="single" w:sz="6" w:space="0" w:color="auto"/>
              <w:right w:val="single" w:sz="6" w:space="0" w:color="auto"/>
            </w:tcBorders>
          </w:tcPr>
          <w:p w14:paraId="63A1D600" w14:textId="77777777" w:rsidR="0004458A" w:rsidRPr="006753CA" w:rsidRDefault="0004458A" w:rsidP="006D389B">
            <w:pPr>
              <w:pStyle w:val="wTableNormal"/>
              <w:jc w:val="center"/>
            </w:pPr>
            <w:r w:rsidRPr="006753CA">
              <w:t>Over</w:t>
            </w:r>
          </w:p>
        </w:tc>
        <w:tc>
          <w:tcPr>
            <w:tcW w:w="1430" w:type="dxa"/>
            <w:tcBorders>
              <w:top w:val="single" w:sz="6" w:space="0" w:color="auto"/>
              <w:left w:val="single" w:sz="6" w:space="0" w:color="auto"/>
              <w:bottom w:val="single" w:sz="6" w:space="0" w:color="auto"/>
              <w:right w:val="single" w:sz="6" w:space="0" w:color="auto"/>
            </w:tcBorders>
          </w:tcPr>
          <w:p w14:paraId="529B9870" w14:textId="77777777" w:rsidR="0004458A" w:rsidRPr="006753CA" w:rsidRDefault="0004458A" w:rsidP="006D389B">
            <w:pPr>
              <w:pStyle w:val="wTableNormal"/>
              <w:jc w:val="center"/>
            </w:pPr>
            <w:r w:rsidRPr="006753CA">
              <w:t>Not over</w:t>
            </w:r>
          </w:p>
        </w:tc>
        <w:tc>
          <w:tcPr>
            <w:tcW w:w="1044" w:type="dxa"/>
            <w:tcBorders>
              <w:top w:val="single" w:sz="6" w:space="0" w:color="auto"/>
              <w:left w:val="single" w:sz="6" w:space="0" w:color="auto"/>
              <w:bottom w:val="single" w:sz="6" w:space="0" w:color="auto"/>
              <w:right w:val="single" w:sz="6" w:space="0" w:color="auto"/>
            </w:tcBorders>
          </w:tcPr>
          <w:p w14:paraId="3633E3BE" w14:textId="77777777" w:rsidR="0004458A" w:rsidRPr="006753CA" w:rsidRDefault="0004458A" w:rsidP="006D389B">
            <w:pPr>
              <w:pStyle w:val="wTableNormal"/>
              <w:jc w:val="center"/>
            </w:pPr>
            <w:r w:rsidRPr="006753CA">
              <w:t>Over</w:t>
            </w:r>
          </w:p>
        </w:tc>
        <w:tc>
          <w:tcPr>
            <w:tcW w:w="1210" w:type="dxa"/>
            <w:tcBorders>
              <w:top w:val="single" w:sz="6" w:space="0" w:color="auto"/>
              <w:left w:val="single" w:sz="6" w:space="0" w:color="auto"/>
              <w:bottom w:val="single" w:sz="6" w:space="0" w:color="auto"/>
              <w:right w:val="single" w:sz="6" w:space="0" w:color="auto"/>
            </w:tcBorders>
          </w:tcPr>
          <w:p w14:paraId="7FB4CECE" w14:textId="77777777" w:rsidR="0004458A" w:rsidRPr="006753CA" w:rsidRDefault="0004458A" w:rsidP="006D389B">
            <w:pPr>
              <w:pStyle w:val="wTableNormal"/>
              <w:jc w:val="center"/>
            </w:pPr>
            <w:r w:rsidRPr="006753CA">
              <w:t>Not over</w:t>
            </w:r>
          </w:p>
        </w:tc>
        <w:tc>
          <w:tcPr>
            <w:tcW w:w="1407" w:type="dxa"/>
            <w:tcBorders>
              <w:top w:val="single" w:sz="6" w:space="0" w:color="auto"/>
              <w:left w:val="single" w:sz="6" w:space="0" w:color="auto"/>
              <w:bottom w:val="single" w:sz="6" w:space="0" w:color="auto"/>
            </w:tcBorders>
          </w:tcPr>
          <w:p w14:paraId="566EAC6C" w14:textId="77777777" w:rsidR="0004458A" w:rsidRPr="006753CA" w:rsidRDefault="0004458A" w:rsidP="006D389B">
            <w:pPr>
              <w:pStyle w:val="wTableNormal"/>
              <w:jc w:val="center"/>
            </w:pPr>
            <w:r w:rsidRPr="006753CA">
              <w:t>Percentage</w:t>
            </w:r>
          </w:p>
        </w:tc>
      </w:tr>
      <w:tr w:rsidR="00BD22A8" w:rsidRPr="006D389B" w14:paraId="41055032" w14:textId="77777777" w:rsidTr="008C0864">
        <w:trPr>
          <w:jc w:val="center"/>
        </w:trPr>
        <w:tc>
          <w:tcPr>
            <w:tcW w:w="1263" w:type="dxa"/>
            <w:tcBorders>
              <w:top w:val="single" w:sz="6" w:space="0" w:color="auto"/>
              <w:bottom w:val="single" w:sz="6" w:space="0" w:color="auto"/>
              <w:right w:val="single" w:sz="6" w:space="0" w:color="auto"/>
            </w:tcBorders>
          </w:tcPr>
          <w:p w14:paraId="293D824D" w14:textId="77777777" w:rsidR="00BD22A8" w:rsidRDefault="00BD22A8" w:rsidP="008C6174">
            <w:pPr>
              <w:pStyle w:val="wTableNormal"/>
              <w:jc w:val="center"/>
            </w:pPr>
            <w:r>
              <w:rPr>
                <w:szCs w:val="22"/>
              </w:rPr>
              <w:t>$0</w:t>
            </w:r>
          </w:p>
        </w:tc>
        <w:tc>
          <w:tcPr>
            <w:tcW w:w="990" w:type="dxa"/>
            <w:tcBorders>
              <w:top w:val="single" w:sz="6" w:space="0" w:color="auto"/>
              <w:left w:val="single" w:sz="6" w:space="0" w:color="auto"/>
              <w:bottom w:val="single" w:sz="6" w:space="0" w:color="auto"/>
              <w:right w:val="single" w:sz="6" w:space="0" w:color="auto"/>
            </w:tcBorders>
          </w:tcPr>
          <w:p w14:paraId="37BC8DA1" w14:textId="77777777" w:rsidR="00BD22A8" w:rsidRDefault="00BD22A8" w:rsidP="008C6174">
            <w:pPr>
              <w:pStyle w:val="wTableNormal"/>
              <w:jc w:val="center"/>
            </w:pPr>
            <w:r>
              <w:rPr>
                <w:szCs w:val="22"/>
              </w:rPr>
              <w:t>$36,500</w:t>
            </w:r>
          </w:p>
        </w:tc>
        <w:tc>
          <w:tcPr>
            <w:tcW w:w="1430" w:type="dxa"/>
            <w:tcBorders>
              <w:top w:val="single" w:sz="6" w:space="0" w:color="auto"/>
              <w:left w:val="single" w:sz="6" w:space="0" w:color="auto"/>
              <w:bottom w:val="single" w:sz="6" w:space="0" w:color="auto"/>
              <w:right w:val="single" w:sz="6" w:space="0" w:color="auto"/>
            </w:tcBorders>
          </w:tcPr>
          <w:p w14:paraId="5792222B" w14:textId="77777777" w:rsidR="00BD22A8" w:rsidRDefault="00BD22A8" w:rsidP="008C6174">
            <w:pPr>
              <w:pStyle w:val="wTableNormal"/>
              <w:jc w:val="center"/>
            </w:pPr>
            <w:r>
              <w:rPr>
                <w:szCs w:val="22"/>
              </w:rPr>
              <w:t>$0</w:t>
            </w:r>
          </w:p>
        </w:tc>
        <w:tc>
          <w:tcPr>
            <w:tcW w:w="1430" w:type="dxa"/>
            <w:tcBorders>
              <w:top w:val="single" w:sz="6" w:space="0" w:color="auto"/>
              <w:left w:val="single" w:sz="6" w:space="0" w:color="auto"/>
              <w:bottom w:val="single" w:sz="6" w:space="0" w:color="auto"/>
              <w:right w:val="single" w:sz="6" w:space="0" w:color="auto"/>
            </w:tcBorders>
          </w:tcPr>
          <w:p w14:paraId="1C35ACCE" w14:textId="77777777" w:rsidR="00BD22A8" w:rsidRDefault="00BD22A8" w:rsidP="008C6174">
            <w:pPr>
              <w:pStyle w:val="wTableNormal"/>
              <w:jc w:val="center"/>
            </w:pPr>
            <w:r>
              <w:rPr>
                <w:szCs w:val="22"/>
              </w:rPr>
              <w:t>$27,375</w:t>
            </w:r>
          </w:p>
        </w:tc>
        <w:tc>
          <w:tcPr>
            <w:tcW w:w="1044" w:type="dxa"/>
            <w:tcBorders>
              <w:top w:val="single" w:sz="6" w:space="0" w:color="auto"/>
              <w:left w:val="single" w:sz="6" w:space="0" w:color="auto"/>
              <w:bottom w:val="single" w:sz="6" w:space="0" w:color="auto"/>
              <w:right w:val="single" w:sz="6" w:space="0" w:color="auto"/>
            </w:tcBorders>
          </w:tcPr>
          <w:p w14:paraId="523324DD" w14:textId="77777777" w:rsidR="00BD22A8" w:rsidRDefault="00BD22A8" w:rsidP="008C6174">
            <w:pPr>
              <w:pStyle w:val="wTableNormal"/>
              <w:jc w:val="center"/>
            </w:pPr>
            <w:r>
              <w:rPr>
                <w:szCs w:val="22"/>
              </w:rPr>
              <w:t>$0</w:t>
            </w:r>
          </w:p>
        </w:tc>
        <w:tc>
          <w:tcPr>
            <w:tcW w:w="1210" w:type="dxa"/>
            <w:tcBorders>
              <w:top w:val="single" w:sz="6" w:space="0" w:color="auto"/>
              <w:left w:val="single" w:sz="6" w:space="0" w:color="auto"/>
              <w:bottom w:val="single" w:sz="6" w:space="0" w:color="auto"/>
              <w:right w:val="single" w:sz="6" w:space="0" w:color="auto"/>
            </w:tcBorders>
          </w:tcPr>
          <w:p w14:paraId="0F1A1DD0" w14:textId="77777777" w:rsidR="00BD22A8" w:rsidRDefault="00BD22A8" w:rsidP="008C6174">
            <w:pPr>
              <w:pStyle w:val="wTableNormal"/>
              <w:jc w:val="center"/>
            </w:pPr>
            <w:r>
              <w:rPr>
                <w:szCs w:val="22"/>
              </w:rPr>
              <w:t>$18,250</w:t>
            </w:r>
          </w:p>
        </w:tc>
        <w:tc>
          <w:tcPr>
            <w:tcW w:w="1407" w:type="dxa"/>
            <w:tcBorders>
              <w:top w:val="single" w:sz="6" w:space="0" w:color="auto"/>
              <w:left w:val="single" w:sz="6" w:space="0" w:color="auto"/>
              <w:bottom w:val="single" w:sz="6" w:space="0" w:color="auto"/>
            </w:tcBorders>
            <w:vAlign w:val="center"/>
          </w:tcPr>
          <w:p w14:paraId="77F65AC6" w14:textId="77777777" w:rsidR="00BD22A8" w:rsidRDefault="00BD22A8" w:rsidP="006D389B">
            <w:pPr>
              <w:pStyle w:val="wTableNormal"/>
              <w:jc w:val="center"/>
            </w:pPr>
            <w:r w:rsidRPr="00CD7856">
              <w:t>50%</w:t>
            </w:r>
          </w:p>
        </w:tc>
      </w:tr>
      <w:tr w:rsidR="00BD22A8" w:rsidRPr="006D389B" w14:paraId="493A5E55" w14:textId="77777777" w:rsidTr="008C0864">
        <w:trPr>
          <w:jc w:val="center"/>
        </w:trPr>
        <w:tc>
          <w:tcPr>
            <w:tcW w:w="1263" w:type="dxa"/>
            <w:tcBorders>
              <w:top w:val="single" w:sz="6" w:space="0" w:color="auto"/>
              <w:bottom w:val="single" w:sz="6" w:space="0" w:color="auto"/>
              <w:right w:val="single" w:sz="6" w:space="0" w:color="auto"/>
            </w:tcBorders>
          </w:tcPr>
          <w:p w14:paraId="03E26828" w14:textId="77777777" w:rsidR="00BD22A8" w:rsidRDefault="00BD22A8" w:rsidP="008C6174">
            <w:pPr>
              <w:pStyle w:val="wTableNormal"/>
              <w:jc w:val="center"/>
            </w:pPr>
            <w:r>
              <w:rPr>
                <w:szCs w:val="22"/>
              </w:rPr>
              <w:t>$36,500</w:t>
            </w:r>
          </w:p>
        </w:tc>
        <w:tc>
          <w:tcPr>
            <w:tcW w:w="990" w:type="dxa"/>
            <w:tcBorders>
              <w:top w:val="single" w:sz="6" w:space="0" w:color="auto"/>
              <w:left w:val="single" w:sz="6" w:space="0" w:color="auto"/>
              <w:bottom w:val="single" w:sz="6" w:space="0" w:color="auto"/>
              <w:right w:val="single" w:sz="6" w:space="0" w:color="auto"/>
            </w:tcBorders>
          </w:tcPr>
          <w:p w14:paraId="1FC27FC7" w14:textId="77777777" w:rsidR="00BD22A8" w:rsidRDefault="00BD22A8" w:rsidP="008C6174">
            <w:pPr>
              <w:pStyle w:val="wTableNormal"/>
              <w:jc w:val="center"/>
            </w:pPr>
            <w:r>
              <w:rPr>
                <w:szCs w:val="22"/>
              </w:rPr>
              <w:t>$39,500</w:t>
            </w:r>
          </w:p>
        </w:tc>
        <w:tc>
          <w:tcPr>
            <w:tcW w:w="1430" w:type="dxa"/>
            <w:tcBorders>
              <w:top w:val="single" w:sz="6" w:space="0" w:color="auto"/>
              <w:left w:val="single" w:sz="6" w:space="0" w:color="auto"/>
              <w:bottom w:val="single" w:sz="6" w:space="0" w:color="auto"/>
              <w:right w:val="single" w:sz="6" w:space="0" w:color="auto"/>
            </w:tcBorders>
          </w:tcPr>
          <w:p w14:paraId="03ACC672" w14:textId="77777777" w:rsidR="00BD22A8" w:rsidRDefault="00BD22A8" w:rsidP="008C6174">
            <w:pPr>
              <w:pStyle w:val="wTableNormal"/>
              <w:jc w:val="center"/>
            </w:pPr>
            <w:r>
              <w:rPr>
                <w:szCs w:val="22"/>
              </w:rPr>
              <w:t>$27,375</w:t>
            </w:r>
          </w:p>
        </w:tc>
        <w:tc>
          <w:tcPr>
            <w:tcW w:w="1430" w:type="dxa"/>
            <w:tcBorders>
              <w:top w:val="single" w:sz="6" w:space="0" w:color="auto"/>
              <w:left w:val="single" w:sz="6" w:space="0" w:color="auto"/>
              <w:bottom w:val="single" w:sz="6" w:space="0" w:color="auto"/>
              <w:right w:val="single" w:sz="6" w:space="0" w:color="auto"/>
            </w:tcBorders>
          </w:tcPr>
          <w:p w14:paraId="1645AC07" w14:textId="77777777" w:rsidR="00BD22A8" w:rsidRDefault="00BD22A8" w:rsidP="008C6174">
            <w:pPr>
              <w:pStyle w:val="wTableNormal"/>
              <w:jc w:val="center"/>
            </w:pPr>
            <w:r>
              <w:rPr>
                <w:szCs w:val="22"/>
              </w:rPr>
              <w:t>$29,625</w:t>
            </w:r>
          </w:p>
        </w:tc>
        <w:tc>
          <w:tcPr>
            <w:tcW w:w="1044" w:type="dxa"/>
            <w:tcBorders>
              <w:top w:val="single" w:sz="6" w:space="0" w:color="auto"/>
              <w:left w:val="single" w:sz="6" w:space="0" w:color="auto"/>
              <w:bottom w:val="single" w:sz="6" w:space="0" w:color="auto"/>
              <w:right w:val="single" w:sz="6" w:space="0" w:color="auto"/>
            </w:tcBorders>
          </w:tcPr>
          <w:p w14:paraId="09E54D41" w14:textId="77777777" w:rsidR="00BD22A8" w:rsidRDefault="00BD22A8" w:rsidP="008C6174">
            <w:pPr>
              <w:pStyle w:val="wTableNormal"/>
              <w:jc w:val="center"/>
            </w:pPr>
            <w:r>
              <w:rPr>
                <w:szCs w:val="22"/>
              </w:rPr>
              <w:t>$18,250</w:t>
            </w:r>
          </w:p>
        </w:tc>
        <w:tc>
          <w:tcPr>
            <w:tcW w:w="1210" w:type="dxa"/>
            <w:tcBorders>
              <w:top w:val="single" w:sz="6" w:space="0" w:color="auto"/>
              <w:left w:val="single" w:sz="6" w:space="0" w:color="auto"/>
              <w:bottom w:val="single" w:sz="6" w:space="0" w:color="auto"/>
              <w:right w:val="single" w:sz="6" w:space="0" w:color="auto"/>
            </w:tcBorders>
          </w:tcPr>
          <w:p w14:paraId="3CD17FBE" w14:textId="77777777" w:rsidR="00BD22A8" w:rsidRDefault="00BD22A8" w:rsidP="008C6174">
            <w:pPr>
              <w:pStyle w:val="wTableNormal"/>
              <w:jc w:val="center"/>
            </w:pPr>
            <w:r>
              <w:rPr>
                <w:szCs w:val="22"/>
              </w:rPr>
              <w:t>$19,750</w:t>
            </w:r>
          </w:p>
        </w:tc>
        <w:tc>
          <w:tcPr>
            <w:tcW w:w="1407" w:type="dxa"/>
            <w:tcBorders>
              <w:top w:val="single" w:sz="6" w:space="0" w:color="auto"/>
              <w:left w:val="single" w:sz="6" w:space="0" w:color="auto"/>
              <w:bottom w:val="single" w:sz="6" w:space="0" w:color="auto"/>
            </w:tcBorders>
            <w:vAlign w:val="center"/>
          </w:tcPr>
          <w:p w14:paraId="4C1E80A7" w14:textId="77777777" w:rsidR="00BD22A8" w:rsidRDefault="00BD22A8" w:rsidP="006D389B">
            <w:pPr>
              <w:pStyle w:val="wTableNormal"/>
              <w:jc w:val="center"/>
            </w:pPr>
            <w:r w:rsidRPr="00CD7856">
              <w:t>20%</w:t>
            </w:r>
          </w:p>
        </w:tc>
      </w:tr>
      <w:tr w:rsidR="00BD22A8" w:rsidRPr="006D389B" w14:paraId="4C7ED55C" w14:textId="77777777" w:rsidTr="008C0864">
        <w:trPr>
          <w:jc w:val="center"/>
        </w:trPr>
        <w:tc>
          <w:tcPr>
            <w:tcW w:w="1263" w:type="dxa"/>
            <w:tcBorders>
              <w:top w:val="single" w:sz="6" w:space="0" w:color="auto"/>
              <w:bottom w:val="single" w:sz="6" w:space="0" w:color="auto"/>
              <w:right w:val="single" w:sz="6" w:space="0" w:color="auto"/>
            </w:tcBorders>
          </w:tcPr>
          <w:p w14:paraId="5F41D0A6" w14:textId="77777777" w:rsidR="00BD22A8" w:rsidRDefault="00BD22A8" w:rsidP="008C6174">
            <w:pPr>
              <w:pStyle w:val="wTableNormal"/>
              <w:jc w:val="center"/>
            </w:pPr>
            <w:r>
              <w:rPr>
                <w:szCs w:val="22"/>
              </w:rPr>
              <w:t>$39,500</w:t>
            </w:r>
          </w:p>
        </w:tc>
        <w:tc>
          <w:tcPr>
            <w:tcW w:w="990" w:type="dxa"/>
            <w:tcBorders>
              <w:top w:val="single" w:sz="6" w:space="0" w:color="auto"/>
              <w:left w:val="single" w:sz="6" w:space="0" w:color="auto"/>
              <w:bottom w:val="single" w:sz="6" w:space="0" w:color="auto"/>
              <w:right w:val="single" w:sz="6" w:space="0" w:color="auto"/>
            </w:tcBorders>
          </w:tcPr>
          <w:p w14:paraId="7AEE4E1D" w14:textId="77777777" w:rsidR="00BD22A8" w:rsidRDefault="00BD22A8" w:rsidP="008C6174">
            <w:pPr>
              <w:pStyle w:val="wTableNormal"/>
              <w:jc w:val="center"/>
            </w:pPr>
            <w:r>
              <w:rPr>
                <w:szCs w:val="22"/>
              </w:rPr>
              <w:t>$61,000</w:t>
            </w:r>
          </w:p>
        </w:tc>
        <w:tc>
          <w:tcPr>
            <w:tcW w:w="1430" w:type="dxa"/>
            <w:tcBorders>
              <w:top w:val="single" w:sz="6" w:space="0" w:color="auto"/>
              <w:left w:val="single" w:sz="6" w:space="0" w:color="auto"/>
              <w:bottom w:val="single" w:sz="6" w:space="0" w:color="auto"/>
              <w:right w:val="single" w:sz="6" w:space="0" w:color="auto"/>
            </w:tcBorders>
          </w:tcPr>
          <w:p w14:paraId="23379843" w14:textId="77777777" w:rsidR="00BD22A8" w:rsidRDefault="00BD22A8" w:rsidP="008C6174">
            <w:pPr>
              <w:pStyle w:val="wTableNormal"/>
              <w:jc w:val="center"/>
            </w:pPr>
            <w:r>
              <w:rPr>
                <w:szCs w:val="22"/>
              </w:rPr>
              <w:t>$29,625</w:t>
            </w:r>
          </w:p>
        </w:tc>
        <w:tc>
          <w:tcPr>
            <w:tcW w:w="1430" w:type="dxa"/>
            <w:tcBorders>
              <w:top w:val="single" w:sz="6" w:space="0" w:color="auto"/>
              <w:left w:val="single" w:sz="6" w:space="0" w:color="auto"/>
              <w:bottom w:val="single" w:sz="6" w:space="0" w:color="auto"/>
              <w:right w:val="single" w:sz="6" w:space="0" w:color="auto"/>
            </w:tcBorders>
          </w:tcPr>
          <w:p w14:paraId="26D90135" w14:textId="77777777" w:rsidR="00BD22A8" w:rsidRDefault="00BD22A8" w:rsidP="008C6174">
            <w:pPr>
              <w:pStyle w:val="wTableNormal"/>
              <w:jc w:val="center"/>
            </w:pPr>
            <w:r>
              <w:rPr>
                <w:szCs w:val="22"/>
              </w:rPr>
              <w:t>$45,750</w:t>
            </w:r>
          </w:p>
        </w:tc>
        <w:tc>
          <w:tcPr>
            <w:tcW w:w="1044" w:type="dxa"/>
            <w:tcBorders>
              <w:top w:val="single" w:sz="6" w:space="0" w:color="auto"/>
              <w:left w:val="single" w:sz="6" w:space="0" w:color="auto"/>
              <w:bottom w:val="single" w:sz="6" w:space="0" w:color="auto"/>
              <w:right w:val="single" w:sz="6" w:space="0" w:color="auto"/>
            </w:tcBorders>
          </w:tcPr>
          <w:p w14:paraId="6E1010F0" w14:textId="77777777" w:rsidR="00BD22A8" w:rsidRDefault="00BD22A8" w:rsidP="008C6174">
            <w:pPr>
              <w:pStyle w:val="wTableNormal"/>
              <w:jc w:val="center"/>
            </w:pPr>
            <w:r>
              <w:rPr>
                <w:szCs w:val="22"/>
              </w:rPr>
              <w:t>$19,750</w:t>
            </w:r>
          </w:p>
        </w:tc>
        <w:tc>
          <w:tcPr>
            <w:tcW w:w="1210" w:type="dxa"/>
            <w:tcBorders>
              <w:top w:val="single" w:sz="6" w:space="0" w:color="auto"/>
              <w:left w:val="single" w:sz="6" w:space="0" w:color="auto"/>
              <w:bottom w:val="single" w:sz="6" w:space="0" w:color="auto"/>
              <w:right w:val="single" w:sz="6" w:space="0" w:color="auto"/>
            </w:tcBorders>
          </w:tcPr>
          <w:p w14:paraId="7966BA59" w14:textId="77777777" w:rsidR="00BD22A8" w:rsidRDefault="00BD22A8" w:rsidP="008C6174">
            <w:pPr>
              <w:pStyle w:val="wTableNormal"/>
              <w:jc w:val="center"/>
            </w:pPr>
            <w:r>
              <w:rPr>
                <w:szCs w:val="22"/>
              </w:rPr>
              <w:t>$30,500</w:t>
            </w:r>
          </w:p>
        </w:tc>
        <w:tc>
          <w:tcPr>
            <w:tcW w:w="1407" w:type="dxa"/>
            <w:tcBorders>
              <w:top w:val="single" w:sz="6" w:space="0" w:color="auto"/>
              <w:left w:val="single" w:sz="6" w:space="0" w:color="auto"/>
              <w:bottom w:val="single" w:sz="6" w:space="0" w:color="auto"/>
            </w:tcBorders>
            <w:vAlign w:val="center"/>
          </w:tcPr>
          <w:p w14:paraId="7507EF93" w14:textId="77777777" w:rsidR="00BD22A8" w:rsidRDefault="00BD22A8" w:rsidP="006D389B">
            <w:pPr>
              <w:pStyle w:val="wTableNormal"/>
              <w:jc w:val="center"/>
            </w:pPr>
            <w:r w:rsidRPr="00CD7856">
              <w:t>10%</w:t>
            </w:r>
          </w:p>
        </w:tc>
      </w:tr>
      <w:tr w:rsidR="00BD22A8" w:rsidRPr="006D389B" w14:paraId="67175FF2" w14:textId="77777777" w:rsidTr="008C0864">
        <w:trPr>
          <w:jc w:val="center"/>
        </w:trPr>
        <w:tc>
          <w:tcPr>
            <w:tcW w:w="1263" w:type="dxa"/>
            <w:tcBorders>
              <w:top w:val="single" w:sz="6" w:space="0" w:color="auto"/>
              <w:right w:val="single" w:sz="6" w:space="0" w:color="auto"/>
            </w:tcBorders>
          </w:tcPr>
          <w:p w14:paraId="38CC071C" w14:textId="77777777" w:rsidR="00BD22A8" w:rsidRDefault="00BD22A8" w:rsidP="008C6174">
            <w:pPr>
              <w:pStyle w:val="wTableNormal"/>
              <w:jc w:val="center"/>
            </w:pPr>
            <w:r>
              <w:rPr>
                <w:szCs w:val="22"/>
              </w:rPr>
              <w:t>$61,000</w:t>
            </w:r>
          </w:p>
        </w:tc>
        <w:tc>
          <w:tcPr>
            <w:tcW w:w="990" w:type="dxa"/>
            <w:tcBorders>
              <w:top w:val="single" w:sz="6" w:space="0" w:color="auto"/>
              <w:left w:val="single" w:sz="6" w:space="0" w:color="auto"/>
              <w:right w:val="single" w:sz="6" w:space="0" w:color="auto"/>
            </w:tcBorders>
          </w:tcPr>
          <w:p w14:paraId="06398B1A" w14:textId="77777777" w:rsidR="00BD22A8" w:rsidRPr="001458FD" w:rsidRDefault="00BD22A8" w:rsidP="008C6174">
            <w:pPr>
              <w:pStyle w:val="wTableNormal"/>
              <w:jc w:val="center"/>
              <w:rPr>
                <w:b/>
              </w:rPr>
            </w:pPr>
          </w:p>
        </w:tc>
        <w:tc>
          <w:tcPr>
            <w:tcW w:w="1430" w:type="dxa"/>
            <w:tcBorders>
              <w:top w:val="single" w:sz="6" w:space="0" w:color="auto"/>
              <w:left w:val="single" w:sz="6" w:space="0" w:color="auto"/>
              <w:right w:val="single" w:sz="6" w:space="0" w:color="auto"/>
            </w:tcBorders>
          </w:tcPr>
          <w:p w14:paraId="689A1453" w14:textId="77777777" w:rsidR="00BD22A8" w:rsidRDefault="00BD22A8" w:rsidP="008C6174">
            <w:pPr>
              <w:pStyle w:val="wTableNormal"/>
              <w:jc w:val="center"/>
            </w:pPr>
            <w:r>
              <w:rPr>
                <w:szCs w:val="22"/>
              </w:rPr>
              <w:t>$45,750</w:t>
            </w:r>
          </w:p>
        </w:tc>
        <w:tc>
          <w:tcPr>
            <w:tcW w:w="1430" w:type="dxa"/>
            <w:tcBorders>
              <w:top w:val="single" w:sz="6" w:space="0" w:color="auto"/>
              <w:left w:val="single" w:sz="6" w:space="0" w:color="auto"/>
              <w:right w:val="single" w:sz="6" w:space="0" w:color="auto"/>
            </w:tcBorders>
          </w:tcPr>
          <w:p w14:paraId="7A0A909C" w14:textId="77777777" w:rsidR="00BD22A8" w:rsidRPr="001458FD" w:rsidRDefault="00BD22A8" w:rsidP="008C6174">
            <w:pPr>
              <w:pStyle w:val="wTableNormal"/>
              <w:jc w:val="center"/>
              <w:rPr>
                <w:b/>
              </w:rPr>
            </w:pPr>
          </w:p>
        </w:tc>
        <w:tc>
          <w:tcPr>
            <w:tcW w:w="1044" w:type="dxa"/>
            <w:tcBorders>
              <w:top w:val="single" w:sz="6" w:space="0" w:color="auto"/>
              <w:left w:val="single" w:sz="6" w:space="0" w:color="auto"/>
              <w:right w:val="single" w:sz="6" w:space="0" w:color="auto"/>
            </w:tcBorders>
          </w:tcPr>
          <w:p w14:paraId="025AB66C" w14:textId="77777777" w:rsidR="00BD22A8" w:rsidRDefault="00BD22A8" w:rsidP="008C6174">
            <w:pPr>
              <w:pStyle w:val="wTableNormal"/>
              <w:jc w:val="center"/>
            </w:pPr>
            <w:r>
              <w:rPr>
                <w:szCs w:val="22"/>
              </w:rPr>
              <w:t>$30,500</w:t>
            </w:r>
          </w:p>
        </w:tc>
        <w:tc>
          <w:tcPr>
            <w:tcW w:w="1210" w:type="dxa"/>
            <w:tcBorders>
              <w:top w:val="single" w:sz="6" w:space="0" w:color="auto"/>
              <w:left w:val="single" w:sz="6" w:space="0" w:color="auto"/>
              <w:right w:val="single" w:sz="6" w:space="0" w:color="auto"/>
            </w:tcBorders>
          </w:tcPr>
          <w:p w14:paraId="6D15098D" w14:textId="77777777" w:rsidR="00BD22A8" w:rsidRPr="001458FD" w:rsidRDefault="00BD22A8" w:rsidP="008C6174">
            <w:pPr>
              <w:pStyle w:val="wTableNormal"/>
              <w:jc w:val="center"/>
              <w:rPr>
                <w:b/>
              </w:rPr>
            </w:pPr>
          </w:p>
        </w:tc>
        <w:tc>
          <w:tcPr>
            <w:tcW w:w="1407" w:type="dxa"/>
            <w:tcBorders>
              <w:top w:val="single" w:sz="6" w:space="0" w:color="auto"/>
              <w:left w:val="single" w:sz="6" w:space="0" w:color="auto"/>
            </w:tcBorders>
            <w:vAlign w:val="center"/>
          </w:tcPr>
          <w:p w14:paraId="5B1C4888" w14:textId="77777777" w:rsidR="00BD22A8" w:rsidRDefault="00BD22A8" w:rsidP="006D389B">
            <w:pPr>
              <w:pStyle w:val="wTableNormal"/>
              <w:jc w:val="center"/>
            </w:pPr>
            <w:r w:rsidRPr="00CD7856">
              <w:t>0%</w:t>
            </w:r>
          </w:p>
        </w:tc>
      </w:tr>
    </w:tbl>
    <w:p w14:paraId="06C8BF41" w14:textId="77777777" w:rsidR="000050F1" w:rsidRDefault="000050F1" w:rsidP="000050F1">
      <w:pPr>
        <w:spacing w:after="0"/>
        <w:rPr>
          <w:szCs w:val="22"/>
        </w:rPr>
      </w:pPr>
    </w:p>
    <w:p w14:paraId="5E5DC926" w14:textId="77777777" w:rsidR="00DB2E35" w:rsidRDefault="00DB2E35" w:rsidP="00825E0B">
      <w:pPr>
        <w:rPr>
          <w:szCs w:val="22"/>
        </w:rPr>
      </w:pPr>
      <w:r>
        <w:rPr>
          <w:szCs w:val="22"/>
        </w:rPr>
        <w:t>For example, suppose Bill and Trudy Smith file a joint federal income tax return and have an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of $</w:t>
      </w:r>
      <w:r w:rsidR="000C41A0">
        <w:rPr>
          <w:szCs w:val="22"/>
        </w:rPr>
        <w:t>3</w:t>
      </w:r>
      <w:r w:rsidR="000C109B">
        <w:rPr>
          <w:szCs w:val="22"/>
        </w:rPr>
        <w:t>6</w:t>
      </w:r>
      <w:r w:rsidR="000C41A0">
        <w:rPr>
          <w:szCs w:val="22"/>
        </w:rPr>
        <w:t>,</w:t>
      </w:r>
      <w:r w:rsidR="00356F19">
        <w:rPr>
          <w:szCs w:val="22"/>
        </w:rPr>
        <w:t>5</w:t>
      </w:r>
      <w:r w:rsidR="000C41A0">
        <w:rPr>
          <w:szCs w:val="22"/>
        </w:rPr>
        <w:t>00</w:t>
      </w:r>
      <w:r>
        <w:rPr>
          <w:szCs w:val="22"/>
        </w:rPr>
        <w:t>.</w:t>
      </w:r>
      <w:r w:rsidR="00297ACB">
        <w:rPr>
          <w:szCs w:val="22"/>
        </w:rPr>
        <w:t xml:space="preserve"> </w:t>
      </w:r>
      <w:r>
        <w:rPr>
          <w:szCs w:val="22"/>
        </w:rPr>
        <w:t>If Bill and Trudy each make a $2,000 contribution to a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they would receive a total tax credit of $2,000.</w:t>
      </w:r>
      <w:r w:rsidR="00297ACB">
        <w:rPr>
          <w:szCs w:val="22"/>
        </w:rPr>
        <w:t xml:space="preserve"> </w:t>
      </w:r>
      <w:r>
        <w:rPr>
          <w:szCs w:val="22"/>
        </w:rPr>
        <w:t>($4,000 x 50% = $2,000)</w:t>
      </w:r>
      <w:r w:rsidR="00297ACB">
        <w:rPr>
          <w:szCs w:val="22"/>
        </w:rPr>
        <w:t xml:space="preserve"> </w:t>
      </w:r>
      <w:r>
        <w:rPr>
          <w:szCs w:val="22"/>
        </w:rPr>
        <w:t>If their adjusted gross income were $3</w:t>
      </w:r>
      <w:r w:rsidR="000C109B">
        <w:rPr>
          <w:szCs w:val="22"/>
        </w:rPr>
        <w:t>6</w:t>
      </w:r>
      <w:r>
        <w:rPr>
          <w:szCs w:val="22"/>
        </w:rPr>
        <w:t>,</w:t>
      </w:r>
      <w:r w:rsidR="00356F19">
        <w:rPr>
          <w:szCs w:val="22"/>
        </w:rPr>
        <w:t>5</w:t>
      </w:r>
      <w:r w:rsidR="008F03E2">
        <w:rPr>
          <w:szCs w:val="22"/>
        </w:rPr>
        <w:t>0</w:t>
      </w:r>
      <w:r w:rsidR="004E1B01">
        <w:rPr>
          <w:szCs w:val="22"/>
        </w:rPr>
        <w:t>1</w:t>
      </w:r>
      <w:r>
        <w:rPr>
          <w:szCs w:val="22"/>
        </w:rPr>
        <w:t>, however, their total tax credit would be reduced to $800.</w:t>
      </w:r>
      <w:r w:rsidR="00297ACB">
        <w:rPr>
          <w:szCs w:val="22"/>
        </w:rPr>
        <w:t xml:space="preserve"> </w:t>
      </w:r>
      <w:r>
        <w:rPr>
          <w:szCs w:val="22"/>
        </w:rPr>
        <w:t>($4,000 x 20% = $800)</w:t>
      </w:r>
    </w:p>
    <w:p w14:paraId="4EFA9AE9" w14:textId="77777777" w:rsidR="00DB2E35" w:rsidRPr="00B300D1" w:rsidRDefault="00DB2E35" w:rsidP="00825E0B">
      <w:pPr>
        <w:rPr>
          <w:szCs w:val="22"/>
        </w:rPr>
      </w:pPr>
      <w:r>
        <w:rPr>
          <w:szCs w:val="22"/>
        </w:rPr>
        <w:t xml:space="preserve">Since the tax credit is nonrefundable, Bill and Trudy would need to have a federal income tax liability at least equal to the tax credit </w:t>
      </w:r>
      <w:r w:rsidR="00B300D1">
        <w:rPr>
          <w:szCs w:val="22"/>
        </w:rPr>
        <w:t>in order to enjoy its full benefit.</w:t>
      </w:r>
      <w:r w:rsidR="00297ACB">
        <w:rPr>
          <w:szCs w:val="22"/>
        </w:rPr>
        <w:t xml:space="preserve"> </w:t>
      </w:r>
      <w:r w:rsidR="00B300D1">
        <w:rPr>
          <w:szCs w:val="22"/>
        </w:rPr>
        <w:t>If they had a federal income tax liability of $</w:t>
      </w:r>
      <w:r w:rsidR="008E4E3B">
        <w:rPr>
          <w:szCs w:val="22"/>
        </w:rPr>
        <w:t>1</w:t>
      </w:r>
      <w:r w:rsidR="00B300D1">
        <w:rPr>
          <w:szCs w:val="22"/>
        </w:rPr>
        <w:t>,000 and qualified for a $</w:t>
      </w:r>
      <w:r w:rsidR="008E4E3B">
        <w:rPr>
          <w:szCs w:val="22"/>
        </w:rPr>
        <w:t>2</w:t>
      </w:r>
      <w:r w:rsidR="00B300D1">
        <w:rPr>
          <w:szCs w:val="22"/>
        </w:rPr>
        <w:t xml:space="preserve">,000 tax credit, the tax credit would completely offset their tax liability, but </w:t>
      </w:r>
      <w:r w:rsidR="00B300D1">
        <w:rPr>
          <w:i/>
          <w:szCs w:val="22"/>
        </w:rPr>
        <w:t>they would not receive a refund of the additional $1,000</w:t>
      </w:r>
      <w:r w:rsidR="00B300D1">
        <w:rPr>
          <w:szCs w:val="22"/>
        </w:rPr>
        <w:t>.</w:t>
      </w:r>
      <w:r w:rsidR="000C41A0">
        <w:rPr>
          <w:szCs w:val="22"/>
        </w:rPr>
        <w:t xml:space="preserve"> </w:t>
      </w:r>
    </w:p>
    <w:p w14:paraId="7F15A9E4" w14:textId="77777777" w:rsidR="00B300D1" w:rsidRPr="00453314" w:rsidRDefault="00B300D1" w:rsidP="00837020">
      <w:pPr>
        <w:pStyle w:val="Heading2"/>
      </w:pPr>
      <w:bookmarkStart w:id="28" w:name="_Toc48025253"/>
      <w:bookmarkStart w:id="29" w:name="_Toc404357146"/>
      <w:r w:rsidRPr="00453314">
        <w:t>Summary</w:t>
      </w:r>
      <w:bookmarkEnd w:id="28"/>
      <w:bookmarkEnd w:id="29"/>
    </w:p>
    <w:p w14:paraId="7D239A71" w14:textId="77777777" w:rsidR="006A7028" w:rsidRDefault="000D6B44" w:rsidP="00825E0B">
      <w:pPr>
        <w:rPr>
          <w:szCs w:val="22"/>
        </w:rPr>
      </w:pPr>
      <w:r>
        <w:rPr>
          <w:szCs w:val="22"/>
        </w:rPr>
        <w:t>Individual retirement accounts were authorized by Congress as part of ERISA</w:t>
      </w:r>
      <w:r w:rsidR="00A95039">
        <w:rPr>
          <w:szCs w:val="22"/>
        </w:rPr>
        <w:fldChar w:fldCharType="begin"/>
      </w:r>
      <w:r w:rsidR="00293611">
        <w:instrText xml:space="preserve"> XE "</w:instrText>
      </w:r>
      <w:r w:rsidR="00293611" w:rsidRPr="00CD56BD">
        <w:instrText>ERISA</w:instrText>
      </w:r>
      <w:r w:rsidR="00293611">
        <w:instrText xml:space="preserve">" </w:instrText>
      </w:r>
      <w:r w:rsidR="00A95039">
        <w:rPr>
          <w:szCs w:val="22"/>
        </w:rPr>
        <w:fldChar w:fldCharType="end"/>
      </w:r>
      <w:r>
        <w:rPr>
          <w:szCs w:val="22"/>
        </w:rPr>
        <w:t xml:space="preserve"> to allow workers who were not covered under employer-sponsored retirement plans to make tax-deductible contributions to their own retirement plan.</w:t>
      </w:r>
      <w:r w:rsidR="00297ACB">
        <w:rPr>
          <w:szCs w:val="22"/>
        </w:rPr>
        <w:t xml:space="preserve"> </w:t>
      </w:r>
      <w:r w:rsidR="0060484B">
        <w:rPr>
          <w:szCs w:val="22"/>
        </w:rPr>
        <w:t>Since the passage of ERISA, IRAs have been expanded to include plans for non-working spouses, plans designed to provide education benefits, plans providing for non-deductible contributions but tax-free benefits, and certain employer-sponsored plans.</w:t>
      </w:r>
      <w:r w:rsidR="00297ACB">
        <w:rPr>
          <w:szCs w:val="22"/>
        </w:rPr>
        <w:t xml:space="preserve"> </w:t>
      </w:r>
      <w:r w:rsidR="0060484B">
        <w:rPr>
          <w:szCs w:val="22"/>
        </w:rPr>
        <w:t>In addit</w:t>
      </w:r>
      <w:r w:rsidR="00A07313">
        <w:rPr>
          <w:szCs w:val="22"/>
        </w:rPr>
        <w:t xml:space="preserve">ion to the expansion of IRAs beyond the initial legislation’s intent, </w:t>
      </w:r>
      <w:r w:rsidR="000C41A0">
        <w:rPr>
          <w:szCs w:val="22"/>
        </w:rPr>
        <w:t>other</w:t>
      </w:r>
      <w:r w:rsidR="00A07313">
        <w:rPr>
          <w:szCs w:val="22"/>
        </w:rPr>
        <w:t xml:space="preserve"> legislation has significantly increased the maximum annual IRA contribution, added a provision permitting catch-up contributions</w:t>
      </w:r>
      <w:r w:rsidR="00A95039">
        <w:rPr>
          <w:szCs w:val="22"/>
        </w:rPr>
        <w:fldChar w:fldCharType="begin"/>
      </w:r>
      <w:r w:rsidR="00500F1D">
        <w:instrText xml:space="preserve"> XE "</w:instrText>
      </w:r>
      <w:r w:rsidR="00500F1D" w:rsidRPr="00CD56BD">
        <w:rPr>
          <w:szCs w:val="22"/>
        </w:rPr>
        <w:instrText>catch-up contributions</w:instrText>
      </w:r>
      <w:r w:rsidR="00500F1D">
        <w:instrText xml:space="preserve">" </w:instrText>
      </w:r>
      <w:r w:rsidR="00A95039">
        <w:rPr>
          <w:szCs w:val="22"/>
        </w:rPr>
        <w:fldChar w:fldCharType="end"/>
      </w:r>
      <w:r w:rsidR="00A07313">
        <w:rPr>
          <w:szCs w:val="22"/>
        </w:rPr>
        <w:t xml:space="preserve"> for individuals age 50 and older and authorized a nonrefundable tax credit</w:t>
      </w:r>
      <w:r w:rsidR="00A95039">
        <w:rPr>
          <w:szCs w:val="22"/>
        </w:rPr>
        <w:fldChar w:fldCharType="begin"/>
      </w:r>
      <w:r w:rsidR="00293611">
        <w:instrText xml:space="preserve"> XE "</w:instrText>
      </w:r>
      <w:r w:rsidR="00293611" w:rsidRPr="00CD56BD">
        <w:rPr>
          <w:szCs w:val="22"/>
        </w:rPr>
        <w:instrText>nonrefundable tax credit</w:instrText>
      </w:r>
      <w:r w:rsidR="00293611">
        <w:instrText xml:space="preserve">" </w:instrText>
      </w:r>
      <w:r w:rsidR="00A95039">
        <w:rPr>
          <w:szCs w:val="22"/>
        </w:rPr>
        <w:fldChar w:fldCharType="end"/>
      </w:r>
      <w:r w:rsidR="00A07313">
        <w:rPr>
          <w:szCs w:val="22"/>
        </w:rPr>
        <w:t xml:space="preserve"> for IRA contributions by certain lower-income individuals.</w:t>
      </w:r>
    </w:p>
    <w:p w14:paraId="59E8E2C0" w14:textId="77777777" w:rsidR="00A07313" w:rsidRDefault="00A07313" w:rsidP="00252943">
      <w:pPr>
        <w:rPr>
          <w:szCs w:val="22"/>
        </w:rPr>
      </w:pPr>
      <w:r>
        <w:rPr>
          <w:szCs w:val="22"/>
        </w:rPr>
        <w:lastRenderedPageBreak/>
        <w:t>Although the modest eligibility requirements that must be met to contribute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make the vast majority of individuals eligible, the tax deductibility of contributions made by active participants in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Pr>
          <w:szCs w:val="22"/>
        </w:rPr>
        <w:t xml:space="preserve"> may be reduced or eliminated depending upon their federal tax filing status and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w:t>
      </w:r>
    </w:p>
    <w:p w14:paraId="564FC9C6" w14:textId="77777777" w:rsidR="00E243A1" w:rsidRDefault="00E243A1" w:rsidP="00E243A1">
      <w:pPr>
        <w:pStyle w:val="Heading2"/>
      </w:pPr>
      <w:bookmarkStart w:id="30" w:name="_Toc404357147"/>
      <w:r>
        <w:t>Review Quiz #1</w:t>
      </w:r>
      <w:bookmarkEnd w:id="30"/>
    </w:p>
    <w:p w14:paraId="4DFC8B98" w14:textId="77777777" w:rsidR="00E243A1" w:rsidRDefault="00E243A1" w:rsidP="00E243A1">
      <w:pPr>
        <w:ind w:left="360" w:hanging="360"/>
      </w:pPr>
      <w:r>
        <w:t>1.   Joan, age 35, is a stay-at-home mother who has no earned income</w:t>
      </w:r>
      <w:r w:rsidR="00A95039">
        <w:fldChar w:fldCharType="begin"/>
      </w:r>
      <w:r w:rsidR="00293611">
        <w:instrText xml:space="preserve"> XE "</w:instrText>
      </w:r>
      <w:r w:rsidR="00293611" w:rsidRPr="00CD56BD">
        <w:rPr>
          <w:szCs w:val="22"/>
        </w:rPr>
        <w:instrText>earned income</w:instrText>
      </w:r>
      <w:r w:rsidR="00293611">
        <w:instrText xml:space="preserve">" </w:instrText>
      </w:r>
      <w:r w:rsidR="00A95039">
        <w:fldChar w:fldCharType="end"/>
      </w:r>
      <w:r>
        <w:t>; her husband’s earned income is $250,000.  Although she is married she files a separate federal income tax return. What is the maximum contribution that may be made in 201</w:t>
      </w:r>
      <w:r w:rsidR="00356F19">
        <w:t>5</w:t>
      </w:r>
      <w:r>
        <w:t xml:space="preserve"> to her spousal individual retirement account?</w:t>
      </w:r>
    </w:p>
    <w:p w14:paraId="6C8417D0" w14:textId="77777777" w:rsidR="00E243A1" w:rsidRDefault="00E243A1" w:rsidP="007A5E54">
      <w:pPr>
        <w:numPr>
          <w:ilvl w:val="0"/>
          <w:numId w:val="54"/>
        </w:numPr>
        <w:spacing w:before="120"/>
      </w:pPr>
      <w:r>
        <w:t>$0</w:t>
      </w:r>
    </w:p>
    <w:p w14:paraId="22927F59" w14:textId="77777777" w:rsidR="00E243A1" w:rsidRDefault="00E243A1" w:rsidP="007A5E54">
      <w:pPr>
        <w:numPr>
          <w:ilvl w:val="0"/>
          <w:numId w:val="54"/>
        </w:numPr>
        <w:spacing w:before="120"/>
      </w:pPr>
      <w:r>
        <w:t>$2,000</w:t>
      </w:r>
    </w:p>
    <w:p w14:paraId="692C4BAD" w14:textId="77777777" w:rsidR="00E243A1" w:rsidRDefault="00E243A1" w:rsidP="007A5E54">
      <w:pPr>
        <w:numPr>
          <w:ilvl w:val="0"/>
          <w:numId w:val="54"/>
        </w:numPr>
        <w:spacing w:before="120"/>
      </w:pPr>
      <w:r>
        <w:t>$5,</w:t>
      </w:r>
      <w:r w:rsidR="007849D5">
        <w:t>5</w:t>
      </w:r>
      <w:r>
        <w:t>00</w:t>
      </w:r>
    </w:p>
    <w:p w14:paraId="63601D96" w14:textId="77777777" w:rsidR="00E243A1" w:rsidRDefault="00E243A1" w:rsidP="007A5E54">
      <w:pPr>
        <w:numPr>
          <w:ilvl w:val="0"/>
          <w:numId w:val="54"/>
        </w:numPr>
        <w:spacing w:before="120"/>
      </w:pPr>
      <w:r>
        <w:t>$6,</w:t>
      </w:r>
      <w:r w:rsidR="007849D5">
        <w:t>5</w:t>
      </w:r>
      <w:r>
        <w:t xml:space="preserve">00     </w:t>
      </w:r>
    </w:p>
    <w:p w14:paraId="795BF95A" w14:textId="77777777" w:rsidR="00E243A1" w:rsidRDefault="00E243A1" w:rsidP="00E243A1">
      <w:pPr>
        <w:ind w:left="360" w:hanging="360"/>
      </w:pPr>
      <w:r>
        <w:t>2.   Bill Walters is a 52-year-old single client. His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in 201</w:t>
      </w:r>
      <w:r w:rsidR="00356F19">
        <w:t>5</w:t>
      </w:r>
      <w:r>
        <w:t xml:space="preserve"> is $200,000, and he is not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an employer-sponsored retirement plan</w:t>
      </w:r>
      <w:r w:rsidR="00A95039">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fldChar w:fldCharType="end"/>
      </w:r>
      <w:r>
        <w:t>. What is the maximum 201</w:t>
      </w:r>
      <w:r w:rsidR="00356F19">
        <w:t>5</w:t>
      </w:r>
      <w:r>
        <w:t xml:space="preserve">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that he may deduct? </w:t>
      </w:r>
    </w:p>
    <w:p w14:paraId="5879E72F" w14:textId="77777777" w:rsidR="00E243A1" w:rsidRDefault="00E243A1" w:rsidP="007A5E54">
      <w:pPr>
        <w:numPr>
          <w:ilvl w:val="0"/>
          <w:numId w:val="56"/>
        </w:numPr>
        <w:spacing w:before="120"/>
        <w:ind w:left="720" w:hanging="360"/>
      </w:pPr>
      <w:r>
        <w:t>$0</w:t>
      </w:r>
    </w:p>
    <w:p w14:paraId="57A6C8B8" w14:textId="77777777" w:rsidR="00E243A1" w:rsidRDefault="00E243A1" w:rsidP="007A5E54">
      <w:pPr>
        <w:numPr>
          <w:ilvl w:val="0"/>
          <w:numId w:val="56"/>
        </w:numPr>
        <w:spacing w:before="120"/>
        <w:ind w:left="720" w:hanging="360"/>
      </w:pPr>
      <w:r>
        <w:t>$2,000</w:t>
      </w:r>
    </w:p>
    <w:p w14:paraId="346F2219" w14:textId="77777777" w:rsidR="00E243A1" w:rsidRDefault="00E243A1" w:rsidP="007A5E54">
      <w:pPr>
        <w:numPr>
          <w:ilvl w:val="0"/>
          <w:numId w:val="56"/>
        </w:numPr>
        <w:spacing w:before="120"/>
        <w:ind w:left="720" w:hanging="360"/>
      </w:pPr>
      <w:r>
        <w:t>$5,</w:t>
      </w:r>
      <w:r w:rsidR="007849D5">
        <w:t>5</w:t>
      </w:r>
      <w:r>
        <w:t>00</w:t>
      </w:r>
    </w:p>
    <w:p w14:paraId="267BD819" w14:textId="77777777" w:rsidR="00E243A1" w:rsidRDefault="00E243A1" w:rsidP="007A5E54">
      <w:pPr>
        <w:numPr>
          <w:ilvl w:val="0"/>
          <w:numId w:val="56"/>
        </w:numPr>
        <w:spacing w:before="120"/>
        <w:ind w:left="720" w:hanging="360"/>
      </w:pPr>
      <w:r>
        <w:t>$6,</w:t>
      </w:r>
      <w:r w:rsidR="007849D5">
        <w:t>5</w:t>
      </w:r>
      <w:r>
        <w:t>00</w:t>
      </w:r>
    </w:p>
    <w:p w14:paraId="781E07B4" w14:textId="77777777" w:rsidR="00E243A1" w:rsidRDefault="00E243A1" w:rsidP="00E243A1">
      <w:pPr>
        <w:ind w:left="360" w:hanging="360"/>
      </w:pPr>
      <w:r>
        <w:t>3.   Shirley is a 32-year-old single woman who is the office manager in a downtown law firm. Her 201</w:t>
      </w:r>
      <w:r w:rsidR="00D44D68">
        <w:t>5</w:t>
      </w:r>
      <w:r>
        <w:t xml:space="preserve">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is $6</w:t>
      </w:r>
      <w:r w:rsidR="00D44D68">
        <w:t>8</w:t>
      </w:r>
      <w:r>
        <w:t>,000, and she is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her employer’s qualified retirement plan. The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for active participants filing a single or head of household return in 201</w:t>
      </w:r>
      <w:r w:rsidR="00D44D68">
        <w:t>5</w:t>
      </w:r>
      <w:r>
        <w:t xml:space="preserve"> is $</w:t>
      </w:r>
      <w:r w:rsidR="00991574">
        <w:t>6</w:t>
      </w:r>
      <w:r w:rsidR="00D44D68">
        <w:t>1</w:t>
      </w:r>
      <w:r>
        <w:t>,000. If she makes a $5,</w:t>
      </w:r>
      <w:r w:rsidR="007849D5">
        <w:t>5</w:t>
      </w:r>
      <w:r>
        <w:t>00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in 201</w:t>
      </w:r>
      <w:r w:rsidR="00D44D68">
        <w:t>5</w:t>
      </w:r>
      <w:r>
        <w:t xml:space="preserve">, what amount may she deduct?   </w:t>
      </w:r>
    </w:p>
    <w:p w14:paraId="331A6F50" w14:textId="77777777" w:rsidR="00E243A1" w:rsidRDefault="00E243A1" w:rsidP="007A5E54">
      <w:pPr>
        <w:numPr>
          <w:ilvl w:val="0"/>
          <w:numId w:val="58"/>
        </w:numPr>
        <w:spacing w:before="120"/>
      </w:pPr>
      <w:r>
        <w:t>$5,</w:t>
      </w:r>
      <w:r w:rsidR="007849D5">
        <w:t>5</w:t>
      </w:r>
      <w:r>
        <w:t>00</w:t>
      </w:r>
    </w:p>
    <w:p w14:paraId="182D31B2" w14:textId="77777777" w:rsidR="00E243A1" w:rsidRDefault="00E243A1" w:rsidP="007A5E54">
      <w:pPr>
        <w:numPr>
          <w:ilvl w:val="0"/>
          <w:numId w:val="58"/>
        </w:numPr>
        <w:spacing w:before="120"/>
      </w:pPr>
      <w:r>
        <w:t>$1,</w:t>
      </w:r>
      <w:r w:rsidR="007849D5">
        <w:t>6</w:t>
      </w:r>
      <w:r>
        <w:t>50</w:t>
      </w:r>
    </w:p>
    <w:p w14:paraId="18D84725" w14:textId="77777777" w:rsidR="00E243A1" w:rsidRDefault="00E243A1" w:rsidP="007A5E54">
      <w:pPr>
        <w:numPr>
          <w:ilvl w:val="0"/>
          <w:numId w:val="58"/>
        </w:numPr>
        <w:spacing w:before="120"/>
      </w:pPr>
      <w:r>
        <w:t>$3,</w:t>
      </w:r>
      <w:r w:rsidR="007849D5">
        <w:t>8</w:t>
      </w:r>
      <w:r>
        <w:t>50</w:t>
      </w:r>
    </w:p>
    <w:p w14:paraId="3C2E02E0" w14:textId="77777777" w:rsidR="00E243A1" w:rsidRDefault="00E243A1" w:rsidP="007A5E54">
      <w:pPr>
        <w:numPr>
          <w:ilvl w:val="0"/>
          <w:numId w:val="58"/>
        </w:numPr>
        <w:spacing w:before="120"/>
      </w:pPr>
      <w:r>
        <w:t>$0</w:t>
      </w:r>
    </w:p>
    <w:p w14:paraId="4C311A33" w14:textId="77777777" w:rsidR="00571B88" w:rsidRPr="00DC4341" w:rsidRDefault="00571B88" w:rsidP="00252943">
      <w:pPr>
        <w:pStyle w:val="Heading3"/>
      </w:pPr>
      <w:bookmarkStart w:id="31" w:name="_Toc404357148"/>
      <w:r w:rsidRPr="00DC4341">
        <w:t>Traditional IRA Tax Considerations—Accumulations</w:t>
      </w:r>
      <w:bookmarkEnd w:id="31"/>
    </w:p>
    <w:p w14:paraId="12C6F3AB" w14:textId="77777777" w:rsidR="00434CE0" w:rsidRPr="000B485C" w:rsidRDefault="00F0252E" w:rsidP="00825E0B">
      <w:pPr>
        <w:rPr>
          <w:i/>
          <w:szCs w:val="22"/>
        </w:rPr>
      </w:pPr>
      <w:r>
        <w:rPr>
          <w:szCs w:val="22"/>
        </w:rPr>
        <w:t>T</w:t>
      </w:r>
      <w:r w:rsidR="00434CE0" w:rsidRPr="000B485C">
        <w:rPr>
          <w:szCs w:val="22"/>
        </w:rPr>
        <w:t>he</w:t>
      </w:r>
      <w:r>
        <w:rPr>
          <w:szCs w:val="22"/>
        </w:rPr>
        <w:t>re are</w:t>
      </w:r>
      <w:r w:rsidR="00434CE0" w:rsidRPr="000B485C">
        <w:rPr>
          <w:szCs w:val="22"/>
        </w:rPr>
        <w:t xml:space="preserve"> three primary factors that affect the value of any </w:t>
      </w:r>
      <w:r>
        <w:rPr>
          <w:szCs w:val="22"/>
        </w:rPr>
        <w:t xml:space="preserve">individual retirement </w:t>
      </w:r>
      <w:r w:rsidR="00434CE0" w:rsidRPr="000B485C">
        <w:rPr>
          <w:szCs w:val="22"/>
        </w:rPr>
        <w:t>account</w:t>
      </w:r>
      <w:r>
        <w:rPr>
          <w:szCs w:val="22"/>
        </w:rPr>
        <w:t>:</w:t>
      </w:r>
    </w:p>
    <w:p w14:paraId="757E9221" w14:textId="77777777" w:rsidR="00C06FCB" w:rsidRDefault="00434CE0" w:rsidP="007A5E54">
      <w:pPr>
        <w:pStyle w:val="ListParagraph"/>
        <w:numPr>
          <w:ilvl w:val="0"/>
          <w:numId w:val="113"/>
        </w:numPr>
        <w:rPr>
          <w:szCs w:val="22"/>
        </w:rPr>
      </w:pPr>
      <w:r w:rsidRPr="00076DE8">
        <w:rPr>
          <w:szCs w:val="22"/>
        </w:rPr>
        <w:t>Contribution level</w:t>
      </w:r>
    </w:p>
    <w:p w14:paraId="13B8DFDF" w14:textId="77777777" w:rsidR="00C06FCB" w:rsidRDefault="00434CE0" w:rsidP="007A5E54">
      <w:pPr>
        <w:pStyle w:val="ListParagraph"/>
        <w:numPr>
          <w:ilvl w:val="0"/>
          <w:numId w:val="113"/>
        </w:numPr>
        <w:rPr>
          <w:szCs w:val="22"/>
        </w:rPr>
      </w:pPr>
      <w:r w:rsidRPr="00076DE8">
        <w:rPr>
          <w:szCs w:val="22"/>
        </w:rPr>
        <w:t>Duration of accumulation</w:t>
      </w:r>
    </w:p>
    <w:p w14:paraId="3671266F" w14:textId="77777777" w:rsidR="00C06FCB" w:rsidRDefault="00F0252E" w:rsidP="007A5E54">
      <w:pPr>
        <w:pStyle w:val="ListParagraph"/>
        <w:numPr>
          <w:ilvl w:val="0"/>
          <w:numId w:val="113"/>
        </w:numPr>
        <w:rPr>
          <w:szCs w:val="22"/>
        </w:rPr>
      </w:pPr>
      <w:r w:rsidRPr="00076DE8">
        <w:rPr>
          <w:szCs w:val="22"/>
        </w:rPr>
        <w:t>Rate of r</w:t>
      </w:r>
      <w:r w:rsidR="00434CE0" w:rsidRPr="00076DE8">
        <w:rPr>
          <w:szCs w:val="22"/>
        </w:rPr>
        <w:t>eturn</w:t>
      </w:r>
    </w:p>
    <w:p w14:paraId="2DDC418C" w14:textId="77777777" w:rsidR="00F0252E" w:rsidRDefault="00F0252E" w:rsidP="00825E0B">
      <w:pPr>
        <w:rPr>
          <w:szCs w:val="22"/>
        </w:rPr>
      </w:pPr>
      <w:r>
        <w:rPr>
          <w:szCs w:val="22"/>
        </w:rPr>
        <w:t>In plain terms,</w:t>
      </w:r>
      <w:r w:rsidR="00434CE0" w:rsidRPr="000B485C">
        <w:rPr>
          <w:szCs w:val="22"/>
        </w:rPr>
        <w:t xml:space="preserve"> </w:t>
      </w:r>
      <w:r>
        <w:rPr>
          <w:szCs w:val="22"/>
        </w:rPr>
        <w:t>t</w:t>
      </w:r>
      <w:r w:rsidR="00434CE0" w:rsidRPr="000B485C">
        <w:rPr>
          <w:szCs w:val="22"/>
        </w:rPr>
        <w:t xml:space="preserve">he value of any account is based on the amount of money </w:t>
      </w:r>
      <w:r>
        <w:rPr>
          <w:szCs w:val="22"/>
        </w:rPr>
        <w:t>contributed</w:t>
      </w:r>
      <w:r w:rsidR="00434CE0" w:rsidRPr="000B485C">
        <w:rPr>
          <w:szCs w:val="22"/>
        </w:rPr>
        <w:t xml:space="preserve">, how long it has been in the account and the </w:t>
      </w:r>
      <w:r>
        <w:rPr>
          <w:szCs w:val="22"/>
        </w:rPr>
        <w:t xml:space="preserve">rate of </w:t>
      </w:r>
      <w:r w:rsidR="00434CE0" w:rsidRPr="000B485C">
        <w:rPr>
          <w:szCs w:val="22"/>
        </w:rPr>
        <w:t xml:space="preserve">growth that </w:t>
      </w:r>
      <w:r>
        <w:rPr>
          <w:szCs w:val="22"/>
        </w:rPr>
        <w:t>it enjoys</w:t>
      </w:r>
      <w:r w:rsidR="00434CE0" w:rsidRPr="000B485C">
        <w:rPr>
          <w:szCs w:val="22"/>
        </w:rPr>
        <w:t>.</w:t>
      </w:r>
      <w:r w:rsidR="00297ACB">
        <w:rPr>
          <w:szCs w:val="22"/>
        </w:rPr>
        <w:t xml:space="preserve"> </w:t>
      </w:r>
      <w:r w:rsidR="00434CE0" w:rsidRPr="000B485C">
        <w:rPr>
          <w:szCs w:val="22"/>
        </w:rPr>
        <w:t>Obviously, those three factors are controlling for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w:t>
      </w:r>
      <w:r w:rsidR="00743856">
        <w:rPr>
          <w:szCs w:val="22"/>
        </w:rPr>
        <w:t xml:space="preserve">value </w:t>
      </w:r>
      <w:r w:rsidR="00434CE0" w:rsidRPr="000B485C">
        <w:rPr>
          <w:szCs w:val="22"/>
        </w:rPr>
        <w:t>as well.</w:t>
      </w:r>
    </w:p>
    <w:p w14:paraId="75CB6DCD" w14:textId="77777777" w:rsidR="00F0252E" w:rsidRDefault="000A643C" w:rsidP="00825E0B">
      <w:pPr>
        <w:rPr>
          <w:szCs w:val="22"/>
        </w:rPr>
      </w:pPr>
      <w:r>
        <w:rPr>
          <w:szCs w:val="22"/>
        </w:rPr>
        <w:lastRenderedPageBreak/>
        <w:t>In addition to these three primary value-affecting factors, t</w:t>
      </w:r>
      <w:r w:rsidR="00F0252E">
        <w:rPr>
          <w:szCs w:val="22"/>
        </w:rPr>
        <w:t>he growth in a</w:t>
      </w:r>
      <w:r w:rsidR="00434CE0" w:rsidRPr="000B485C">
        <w:rPr>
          <w:szCs w:val="22"/>
        </w:rPr>
        <w:t xml:space="preserv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is affected by two </w:t>
      </w:r>
      <w:r>
        <w:rPr>
          <w:szCs w:val="22"/>
        </w:rPr>
        <w:t>other</w:t>
      </w:r>
      <w:r w:rsidR="00434CE0" w:rsidRPr="000B485C">
        <w:rPr>
          <w:szCs w:val="22"/>
        </w:rPr>
        <w:t xml:space="preserve"> factors:</w:t>
      </w:r>
    </w:p>
    <w:p w14:paraId="1840386D" w14:textId="77777777" w:rsidR="00C06FCB" w:rsidRDefault="00F0252E" w:rsidP="007A5E54">
      <w:pPr>
        <w:pStyle w:val="ListParagraph"/>
        <w:numPr>
          <w:ilvl w:val="0"/>
          <w:numId w:val="114"/>
        </w:numPr>
        <w:ind w:left="720"/>
      </w:pPr>
      <w:r w:rsidRPr="00A718DD">
        <w:t>T</w:t>
      </w:r>
      <w:r w:rsidR="00434CE0" w:rsidRPr="00A718DD">
        <w:t>ax-deductibility</w:t>
      </w:r>
      <w:r w:rsidRPr="00A718DD">
        <w:t xml:space="preserve"> of contributions</w:t>
      </w:r>
      <w:r w:rsidR="00A718DD" w:rsidRPr="00A718DD">
        <w:t xml:space="preserve">, </w:t>
      </w:r>
      <w:r w:rsidRPr="00A718DD">
        <w:t>and</w:t>
      </w:r>
    </w:p>
    <w:p w14:paraId="72C17740" w14:textId="77777777" w:rsidR="00C06FCB" w:rsidRDefault="00434CE0" w:rsidP="007A5E54">
      <w:pPr>
        <w:pStyle w:val="ListParagraph"/>
        <w:numPr>
          <w:ilvl w:val="0"/>
          <w:numId w:val="114"/>
        </w:numPr>
        <w:ind w:left="720"/>
      </w:pPr>
      <w:r w:rsidRPr="00A718DD">
        <w:t>Tax deferral</w:t>
      </w:r>
      <w:r w:rsidR="00A95039">
        <w:fldChar w:fldCharType="begin"/>
      </w:r>
      <w:r w:rsidR="00293611">
        <w:instrText xml:space="preserve"> XE "</w:instrText>
      </w:r>
      <w:r w:rsidR="00293611" w:rsidRPr="00CD56BD">
        <w:instrText>Tax deferral</w:instrText>
      </w:r>
      <w:r w:rsidR="00293611">
        <w:instrText xml:space="preserve">" </w:instrText>
      </w:r>
      <w:r w:rsidR="00A95039">
        <w:fldChar w:fldCharType="end"/>
      </w:r>
      <w:r w:rsidRPr="00A718DD">
        <w:t xml:space="preserve"> of earnings</w:t>
      </w:r>
    </w:p>
    <w:p w14:paraId="0308C14C" w14:textId="77777777" w:rsidR="00C538F2" w:rsidRDefault="00EC26CE" w:rsidP="00825E0B">
      <w:pPr>
        <w:rPr>
          <w:szCs w:val="22"/>
        </w:rPr>
      </w:pPr>
      <w:r>
        <w:rPr>
          <w:szCs w:val="22"/>
        </w:rPr>
        <w:t xml:space="preserve">It is reasonable to ask just how significant an impact is made by these two tax </w:t>
      </w:r>
      <w:r w:rsidR="008B5D0B">
        <w:rPr>
          <w:szCs w:val="22"/>
        </w:rPr>
        <w:t>advantages</w:t>
      </w:r>
      <w:r>
        <w:rPr>
          <w:szCs w:val="22"/>
        </w:rPr>
        <w:t>.</w:t>
      </w:r>
      <w:r w:rsidR="00297ACB">
        <w:rPr>
          <w:szCs w:val="22"/>
        </w:rPr>
        <w:t xml:space="preserve"> </w:t>
      </w:r>
      <w:r>
        <w:rPr>
          <w:szCs w:val="22"/>
        </w:rPr>
        <w:t xml:space="preserve">The answer is </w:t>
      </w:r>
      <w:r w:rsidR="00DB650C">
        <w:rPr>
          <w:szCs w:val="22"/>
        </w:rPr>
        <w:t xml:space="preserve">it may be </w:t>
      </w:r>
      <w:r>
        <w:rPr>
          <w:i/>
          <w:szCs w:val="22"/>
        </w:rPr>
        <w:t>very significant</w:t>
      </w:r>
      <w:r>
        <w:rPr>
          <w:szCs w:val="22"/>
        </w:rPr>
        <w:t>.</w:t>
      </w:r>
      <w:r w:rsidR="00297ACB">
        <w:rPr>
          <w:szCs w:val="22"/>
        </w:rPr>
        <w:t xml:space="preserve"> </w:t>
      </w:r>
      <w:r w:rsidR="000A643C">
        <w:rPr>
          <w:szCs w:val="22"/>
        </w:rPr>
        <w:t>Let’s take a look at the differences</w:t>
      </w:r>
      <w:r w:rsidR="00DB650C" w:rsidRPr="00DB650C">
        <w:t xml:space="preserve"> </w:t>
      </w:r>
      <w:r w:rsidR="00DB650C">
        <w:t>in accumulation resulting from these tax advantages</w:t>
      </w:r>
      <w:r w:rsidR="000A643C">
        <w:rPr>
          <w:szCs w:val="22"/>
        </w:rPr>
        <w:t>.</w:t>
      </w:r>
      <w:r w:rsidR="00297ACB">
        <w:rPr>
          <w:szCs w:val="22"/>
        </w:rPr>
        <w:t xml:space="preserve"> </w:t>
      </w:r>
      <w:r w:rsidR="008B5D0B">
        <w:rPr>
          <w:szCs w:val="22"/>
        </w:rPr>
        <w:t>First we will consider the difference caused only by tax deferral and then we will take the tax deduction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sidR="008B5D0B">
        <w:rPr>
          <w:szCs w:val="22"/>
        </w:rPr>
        <w:t xml:space="preserve"> into account as well.</w:t>
      </w:r>
    </w:p>
    <w:p w14:paraId="01EC3B95" w14:textId="77777777" w:rsidR="00434CE0" w:rsidRPr="000B485C" w:rsidRDefault="008B5D0B" w:rsidP="00825E0B">
      <w:pPr>
        <w:rPr>
          <w:i/>
          <w:szCs w:val="22"/>
        </w:rPr>
      </w:pPr>
      <w:r>
        <w:rPr>
          <w:szCs w:val="22"/>
        </w:rPr>
        <w:t xml:space="preserve">Suppose </w:t>
      </w:r>
      <w:r w:rsidR="00434CE0" w:rsidRPr="000B485C">
        <w:rPr>
          <w:szCs w:val="22"/>
        </w:rPr>
        <w:t xml:space="preserve">that </w:t>
      </w:r>
      <w:r>
        <w:rPr>
          <w:szCs w:val="22"/>
        </w:rPr>
        <w:t>y</w:t>
      </w:r>
      <w:r w:rsidR="00434CE0" w:rsidRPr="000B485C">
        <w:rPr>
          <w:szCs w:val="22"/>
        </w:rPr>
        <w:t xml:space="preserve">our </w:t>
      </w:r>
      <w:r w:rsidR="00DE5367">
        <w:rPr>
          <w:szCs w:val="22"/>
        </w:rPr>
        <w:t xml:space="preserve">25 percent tax bracket </w:t>
      </w:r>
      <w:r w:rsidR="00434CE0" w:rsidRPr="000B485C">
        <w:rPr>
          <w:szCs w:val="22"/>
        </w:rPr>
        <w:t xml:space="preserve">client had two accounts that were identical, except that one was tax-deferred and the other </w:t>
      </w:r>
      <w:r w:rsidR="00DE5367">
        <w:rPr>
          <w:szCs w:val="22"/>
        </w:rPr>
        <w:t>was subject to current taxation</w:t>
      </w:r>
      <w:r w:rsidR="00434CE0" w:rsidRPr="000B485C">
        <w:rPr>
          <w:szCs w:val="22"/>
        </w:rPr>
        <w:t>.</w:t>
      </w:r>
      <w:r w:rsidR="00297ACB">
        <w:rPr>
          <w:szCs w:val="22"/>
        </w:rPr>
        <w:t xml:space="preserve"> </w:t>
      </w:r>
      <w:r w:rsidR="00434CE0" w:rsidRPr="000B485C">
        <w:rPr>
          <w:szCs w:val="22"/>
        </w:rPr>
        <w:t xml:space="preserve">If </w:t>
      </w:r>
      <w:r>
        <w:rPr>
          <w:szCs w:val="22"/>
        </w:rPr>
        <w:t>t</w:t>
      </w:r>
      <w:r w:rsidR="00434CE0" w:rsidRPr="000B485C">
        <w:rPr>
          <w:szCs w:val="22"/>
        </w:rPr>
        <w:t>he</w:t>
      </w:r>
      <w:r>
        <w:rPr>
          <w:szCs w:val="22"/>
        </w:rPr>
        <w:t xml:space="preserve"> client</w:t>
      </w:r>
      <w:r w:rsidR="00434CE0" w:rsidRPr="000B485C">
        <w:rPr>
          <w:szCs w:val="22"/>
        </w:rPr>
        <w:t xml:space="preserve"> were to put $</w:t>
      </w:r>
      <w:r w:rsidR="00A056C5">
        <w:rPr>
          <w:szCs w:val="22"/>
        </w:rPr>
        <w:t>5</w:t>
      </w:r>
      <w:r w:rsidR="00434CE0" w:rsidRPr="000B485C">
        <w:rPr>
          <w:szCs w:val="22"/>
        </w:rPr>
        <w:t>,</w:t>
      </w:r>
      <w:r w:rsidR="00144DB2">
        <w:rPr>
          <w:szCs w:val="22"/>
        </w:rPr>
        <w:t>5</w:t>
      </w:r>
      <w:r w:rsidR="00434CE0" w:rsidRPr="000B485C">
        <w:rPr>
          <w:szCs w:val="22"/>
        </w:rPr>
        <w:t xml:space="preserve">00 each year into both of those accounts and earn an average annual </w:t>
      </w:r>
      <w:r w:rsidR="000F309D">
        <w:rPr>
          <w:szCs w:val="22"/>
        </w:rPr>
        <w:t>6</w:t>
      </w:r>
      <w:r w:rsidR="00434CE0" w:rsidRPr="000B485C">
        <w:rPr>
          <w:szCs w:val="22"/>
        </w:rPr>
        <w:t>%</w:t>
      </w:r>
      <w:r>
        <w:rPr>
          <w:szCs w:val="22"/>
        </w:rPr>
        <w:t xml:space="preserve"> return</w:t>
      </w:r>
      <w:r w:rsidR="00434CE0" w:rsidRPr="000B485C">
        <w:rPr>
          <w:szCs w:val="22"/>
        </w:rPr>
        <w:t>,</w:t>
      </w:r>
      <w:r w:rsidR="00DE5367">
        <w:rPr>
          <w:szCs w:val="22"/>
        </w:rPr>
        <w:t xml:space="preserve"> </w:t>
      </w:r>
      <w:r w:rsidR="00434CE0" w:rsidRPr="000B485C">
        <w:rPr>
          <w:szCs w:val="22"/>
        </w:rPr>
        <w:t xml:space="preserve">the earnings difference would be </w:t>
      </w:r>
      <w:r w:rsidR="00DE5367">
        <w:rPr>
          <w:szCs w:val="22"/>
        </w:rPr>
        <w:t xml:space="preserve">substantial over time—even </w:t>
      </w:r>
      <w:r w:rsidR="00434CE0" w:rsidRPr="000B485C">
        <w:rPr>
          <w:szCs w:val="22"/>
        </w:rPr>
        <w:t xml:space="preserve">if he </w:t>
      </w:r>
      <w:r w:rsidR="00DE5367">
        <w:rPr>
          <w:szCs w:val="22"/>
        </w:rPr>
        <w:t xml:space="preserve">or she </w:t>
      </w:r>
      <w:r w:rsidR="00434CE0" w:rsidRPr="000B485C">
        <w:rPr>
          <w:szCs w:val="22"/>
        </w:rPr>
        <w:t>were to take a distribution from the tax-deferred account and pay taxes on the earnings after 30 years</w:t>
      </w:r>
      <w:r w:rsidR="00DE5367">
        <w:rPr>
          <w:szCs w:val="22"/>
        </w:rPr>
        <w:t>.</w:t>
      </w:r>
    </w:p>
    <w:p w14:paraId="5EB674BB" w14:textId="77777777" w:rsidR="00592118" w:rsidRDefault="00434CE0" w:rsidP="008A290E">
      <w:pPr>
        <w:spacing w:before="120"/>
        <w:rPr>
          <w:szCs w:val="22"/>
        </w:rPr>
      </w:pPr>
      <w:r w:rsidRPr="000B485C">
        <w:rPr>
          <w:szCs w:val="22"/>
        </w:rPr>
        <w:t xml:space="preserve">This is what the difference </w:t>
      </w:r>
      <w:r w:rsidR="003F5B65">
        <w:rPr>
          <w:szCs w:val="22"/>
        </w:rPr>
        <w:t xml:space="preserve">in </w:t>
      </w:r>
      <w:r w:rsidR="00144DB2">
        <w:rPr>
          <w:szCs w:val="22"/>
        </w:rPr>
        <w:t xml:space="preserve">after-tax </w:t>
      </w:r>
      <w:r w:rsidR="003F5B65">
        <w:rPr>
          <w:szCs w:val="22"/>
        </w:rPr>
        <w:t xml:space="preserve">earnings </w:t>
      </w:r>
      <w:r w:rsidRPr="000B485C">
        <w:rPr>
          <w:szCs w:val="22"/>
        </w:rPr>
        <w:t>looks like at the e</w:t>
      </w:r>
      <w:r w:rsidR="00592118">
        <w:rPr>
          <w:szCs w:val="22"/>
        </w:rPr>
        <w:t>nd of various five-year periods</w:t>
      </w:r>
      <w:r w:rsidR="00144DB2">
        <w:rPr>
          <w:szCs w:val="22"/>
        </w:rPr>
        <w:t xml:space="preserve">, </w:t>
      </w:r>
      <w:r w:rsidR="00144DB2">
        <w:t xml:space="preserve">assuming the earnings are distributed </w:t>
      </w:r>
      <w:r w:rsidR="00144DB2">
        <w:rPr>
          <w:b/>
        </w:rPr>
        <w:t>and all income taxes are paid</w:t>
      </w:r>
      <w:r w:rsidR="00144DB2">
        <w:rPr>
          <w:szCs w:val="22"/>
        </w:rPr>
        <w:t xml:space="preserve"> </w:t>
      </w:r>
      <w:r w:rsidR="00592118">
        <w:rPr>
          <w:szCs w:val="22"/>
        </w:rPr>
        <w:t xml:space="preserve">—and remember that this only reflects </w:t>
      </w:r>
      <w:r w:rsidR="00592118">
        <w:rPr>
          <w:i/>
          <w:szCs w:val="22"/>
        </w:rPr>
        <w:t>tax deferral</w:t>
      </w:r>
      <w:r w:rsidR="00592118">
        <w:rPr>
          <w:szCs w:val="22"/>
        </w:rPr>
        <w:t xml:space="preserve"> on the earnings: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4"/>
        <w:gridCol w:w="1552"/>
        <w:gridCol w:w="1760"/>
        <w:gridCol w:w="1210"/>
        <w:gridCol w:w="1591"/>
      </w:tblGrid>
      <w:tr w:rsidR="00C67C32" w:rsidRPr="006D389B" w14:paraId="2BDF0E99" w14:textId="77777777" w:rsidTr="006D389B">
        <w:trPr>
          <w:trHeight w:val="330"/>
          <w:jc w:val="center"/>
        </w:trPr>
        <w:tc>
          <w:tcPr>
            <w:tcW w:w="6927" w:type="dxa"/>
            <w:gridSpan w:val="5"/>
            <w:tcBorders>
              <w:top w:val="single" w:sz="12" w:space="0" w:color="auto"/>
              <w:left w:val="single" w:sz="12" w:space="0" w:color="auto"/>
              <w:bottom w:val="single" w:sz="12" w:space="0" w:color="auto"/>
              <w:right w:val="single" w:sz="12" w:space="0" w:color="auto"/>
              <w:tl2br w:val="nil"/>
              <w:tr2bl w:val="nil"/>
            </w:tcBorders>
            <w:shd w:val="clear" w:color="auto" w:fill="E3F4FF"/>
          </w:tcPr>
          <w:p w14:paraId="18A92437" w14:textId="77777777" w:rsidR="00C67C32" w:rsidRPr="00C67C32" w:rsidRDefault="00C67C32" w:rsidP="00C67C32">
            <w:pPr>
              <w:pStyle w:val="WTableHeaderChar"/>
            </w:pPr>
            <w:r w:rsidRPr="00C67C32">
              <w:t>Effect of Tax Deferral Only</w:t>
            </w:r>
          </w:p>
        </w:tc>
      </w:tr>
      <w:tr w:rsidR="00C67C32" w:rsidRPr="006D389B" w14:paraId="62B91362" w14:textId="77777777" w:rsidTr="006D389B">
        <w:trPr>
          <w:trHeight w:val="600"/>
          <w:jc w:val="center"/>
        </w:trPr>
        <w:tc>
          <w:tcPr>
            <w:tcW w:w="814" w:type="dxa"/>
            <w:tcBorders>
              <w:bottom w:val="single" w:sz="6" w:space="0" w:color="auto"/>
              <w:right w:val="single" w:sz="6" w:space="0" w:color="auto"/>
            </w:tcBorders>
          </w:tcPr>
          <w:p w14:paraId="273FDB66" w14:textId="77777777" w:rsidR="00C67C32" w:rsidRPr="00252943" w:rsidRDefault="00C67C32" w:rsidP="006D389B">
            <w:pPr>
              <w:pStyle w:val="wTableSections"/>
              <w:spacing w:before="160"/>
            </w:pPr>
            <w:r w:rsidRPr="00252943">
              <w:t>Years</w:t>
            </w:r>
          </w:p>
        </w:tc>
        <w:tc>
          <w:tcPr>
            <w:tcW w:w="1552" w:type="dxa"/>
            <w:tcBorders>
              <w:left w:val="single" w:sz="6" w:space="0" w:color="auto"/>
              <w:bottom w:val="single" w:sz="6" w:space="0" w:color="auto"/>
              <w:right w:val="single" w:sz="6" w:space="0" w:color="auto"/>
            </w:tcBorders>
          </w:tcPr>
          <w:p w14:paraId="57D0AD66" w14:textId="77777777" w:rsidR="00C67C32" w:rsidRPr="00252943" w:rsidRDefault="00C67C32" w:rsidP="00C67C32">
            <w:pPr>
              <w:pStyle w:val="wTableSections"/>
            </w:pPr>
            <w:r w:rsidRPr="00252943">
              <w:t>Tax-Deferred</w:t>
            </w:r>
            <w:r>
              <w:br/>
            </w:r>
            <w:r w:rsidRPr="00252943">
              <w:t>Earnings*</w:t>
            </w:r>
          </w:p>
        </w:tc>
        <w:tc>
          <w:tcPr>
            <w:tcW w:w="1760" w:type="dxa"/>
            <w:tcBorders>
              <w:left w:val="single" w:sz="6" w:space="0" w:color="auto"/>
              <w:bottom w:val="single" w:sz="6" w:space="0" w:color="auto"/>
              <w:right w:val="single" w:sz="6" w:space="0" w:color="auto"/>
            </w:tcBorders>
          </w:tcPr>
          <w:p w14:paraId="7B98F79F" w14:textId="77777777" w:rsidR="00C67C32" w:rsidRPr="00252943" w:rsidRDefault="00C67C32" w:rsidP="00C67C32">
            <w:pPr>
              <w:pStyle w:val="wTableSections"/>
            </w:pPr>
            <w:r w:rsidRPr="00252943">
              <w:t>Currently-Taxed</w:t>
            </w:r>
            <w:r>
              <w:br/>
            </w:r>
            <w:r w:rsidRPr="00117EA3">
              <w:rPr>
                <w:rStyle w:val="StyleArial11ptBoldChar"/>
                <w:rFonts w:cs="Times New Roman"/>
                <w:b/>
                <w:sz w:val="20"/>
              </w:rPr>
              <w:t>Earnings</w:t>
            </w:r>
            <w:r w:rsidRPr="00A219FB">
              <w:t>‡</w:t>
            </w:r>
          </w:p>
        </w:tc>
        <w:tc>
          <w:tcPr>
            <w:tcW w:w="1210" w:type="dxa"/>
            <w:tcBorders>
              <w:left w:val="single" w:sz="6" w:space="0" w:color="auto"/>
              <w:bottom w:val="single" w:sz="6" w:space="0" w:color="auto"/>
              <w:right w:val="single" w:sz="6" w:space="0" w:color="auto"/>
            </w:tcBorders>
          </w:tcPr>
          <w:p w14:paraId="3660793C" w14:textId="77777777" w:rsidR="00C67C32" w:rsidRPr="00252943" w:rsidRDefault="00C67C32" w:rsidP="00C67C32">
            <w:pPr>
              <w:pStyle w:val="wTableSections"/>
            </w:pPr>
            <w:r w:rsidRPr="00252943">
              <w:t>Dollar</w:t>
            </w:r>
            <w:r>
              <w:br/>
            </w:r>
            <w:r w:rsidRPr="00252943">
              <w:t>Difference</w:t>
            </w:r>
          </w:p>
        </w:tc>
        <w:tc>
          <w:tcPr>
            <w:tcW w:w="1591" w:type="dxa"/>
            <w:tcBorders>
              <w:left w:val="single" w:sz="6" w:space="0" w:color="auto"/>
              <w:bottom w:val="single" w:sz="6" w:space="0" w:color="auto"/>
            </w:tcBorders>
          </w:tcPr>
          <w:p w14:paraId="2E17D0FC" w14:textId="77777777" w:rsidR="00C67C32" w:rsidRPr="00252943" w:rsidRDefault="00C67C32" w:rsidP="00C67C32">
            <w:pPr>
              <w:pStyle w:val="wTableSections"/>
            </w:pPr>
            <w:r w:rsidRPr="00252943">
              <w:t>Percentage</w:t>
            </w:r>
            <w:r>
              <w:br/>
            </w:r>
            <w:r w:rsidRPr="00252943">
              <w:t>Difference</w:t>
            </w:r>
          </w:p>
        </w:tc>
      </w:tr>
      <w:tr w:rsidR="00144DB2" w:rsidRPr="006D389B" w14:paraId="6EB011B8" w14:textId="77777777" w:rsidTr="009F31E2">
        <w:trPr>
          <w:jc w:val="center"/>
        </w:trPr>
        <w:tc>
          <w:tcPr>
            <w:tcW w:w="814" w:type="dxa"/>
            <w:tcBorders>
              <w:top w:val="single" w:sz="6" w:space="0" w:color="auto"/>
              <w:bottom w:val="single" w:sz="6" w:space="0" w:color="auto"/>
              <w:right w:val="single" w:sz="6" w:space="0" w:color="auto"/>
            </w:tcBorders>
          </w:tcPr>
          <w:p w14:paraId="71298D83" w14:textId="77777777" w:rsidR="00144DB2" w:rsidRPr="00F70C1E" w:rsidRDefault="00144DB2" w:rsidP="006D389B">
            <w:pPr>
              <w:pStyle w:val="wTableNormal"/>
              <w:jc w:val="center"/>
            </w:pPr>
            <w:r>
              <w:t xml:space="preserve">  </w:t>
            </w:r>
            <w:r w:rsidRPr="00F70C1E">
              <w:t>5</w:t>
            </w:r>
          </w:p>
        </w:tc>
        <w:tc>
          <w:tcPr>
            <w:tcW w:w="1552" w:type="dxa"/>
            <w:tcBorders>
              <w:top w:val="single" w:sz="6" w:space="0" w:color="auto"/>
              <w:left w:val="single" w:sz="6" w:space="0" w:color="auto"/>
              <w:bottom w:val="single" w:sz="6" w:space="0" w:color="auto"/>
              <w:right w:val="single" w:sz="6" w:space="0" w:color="auto"/>
            </w:tcBorders>
          </w:tcPr>
          <w:p w14:paraId="6226BE8B" w14:textId="77777777" w:rsidR="00144DB2" w:rsidRDefault="00144DB2" w:rsidP="006D389B">
            <w:pPr>
              <w:pStyle w:val="wTableNormal"/>
              <w:tabs>
                <w:tab w:val="decimal" w:pos="1012"/>
              </w:tabs>
            </w:pPr>
            <w:r w:rsidRPr="00982ABF">
              <w:t>$</w:t>
            </w:r>
            <w:r>
              <w:t>4,023</w:t>
            </w:r>
          </w:p>
        </w:tc>
        <w:tc>
          <w:tcPr>
            <w:tcW w:w="1760" w:type="dxa"/>
            <w:tcBorders>
              <w:top w:val="single" w:sz="6" w:space="0" w:color="auto"/>
              <w:left w:val="single" w:sz="6" w:space="0" w:color="auto"/>
              <w:bottom w:val="single" w:sz="6" w:space="0" w:color="auto"/>
              <w:right w:val="single" w:sz="6" w:space="0" w:color="auto"/>
            </w:tcBorders>
          </w:tcPr>
          <w:p w14:paraId="0368C054" w14:textId="77777777" w:rsidR="00144DB2" w:rsidRDefault="00144DB2" w:rsidP="006D389B">
            <w:pPr>
              <w:pStyle w:val="wTableNormal"/>
              <w:tabs>
                <w:tab w:val="decimal" w:pos="1170"/>
              </w:tabs>
            </w:pPr>
            <w:r w:rsidRPr="00982ABF">
              <w:t>$</w:t>
            </w:r>
            <w:r>
              <w:t>3,943</w:t>
            </w:r>
          </w:p>
        </w:tc>
        <w:tc>
          <w:tcPr>
            <w:tcW w:w="1210" w:type="dxa"/>
            <w:tcBorders>
              <w:top w:val="single" w:sz="6" w:space="0" w:color="auto"/>
              <w:left w:val="single" w:sz="6" w:space="0" w:color="auto"/>
              <w:bottom w:val="single" w:sz="6" w:space="0" w:color="auto"/>
              <w:right w:val="single" w:sz="6" w:space="0" w:color="auto"/>
            </w:tcBorders>
          </w:tcPr>
          <w:p w14:paraId="64A70438" w14:textId="77777777" w:rsidR="00144DB2" w:rsidRDefault="00144DB2" w:rsidP="006D389B">
            <w:pPr>
              <w:pStyle w:val="wTableNormal"/>
              <w:tabs>
                <w:tab w:val="decimal" w:pos="850"/>
              </w:tabs>
            </w:pPr>
            <w:r w:rsidRPr="00982ABF">
              <w:t>$</w:t>
            </w:r>
            <w:r>
              <w:t>80</w:t>
            </w:r>
          </w:p>
        </w:tc>
        <w:tc>
          <w:tcPr>
            <w:tcW w:w="1591" w:type="dxa"/>
            <w:tcBorders>
              <w:top w:val="single" w:sz="6" w:space="0" w:color="auto"/>
              <w:left w:val="single" w:sz="6" w:space="0" w:color="auto"/>
              <w:bottom w:val="single" w:sz="6" w:space="0" w:color="auto"/>
            </w:tcBorders>
            <w:vAlign w:val="center"/>
          </w:tcPr>
          <w:p w14:paraId="7659D0E6" w14:textId="77777777" w:rsidR="00144DB2" w:rsidRDefault="00144DB2" w:rsidP="006D389B">
            <w:pPr>
              <w:pStyle w:val="wTableNormal"/>
              <w:tabs>
                <w:tab w:val="decimal" w:pos="630"/>
              </w:tabs>
            </w:pPr>
            <w:r>
              <w:t>2.0</w:t>
            </w:r>
            <w:r w:rsidRPr="00CD7856">
              <w:t>%</w:t>
            </w:r>
          </w:p>
        </w:tc>
      </w:tr>
      <w:tr w:rsidR="00144DB2" w:rsidRPr="006D389B" w14:paraId="1CD0664F" w14:textId="77777777" w:rsidTr="009F31E2">
        <w:trPr>
          <w:jc w:val="center"/>
        </w:trPr>
        <w:tc>
          <w:tcPr>
            <w:tcW w:w="814" w:type="dxa"/>
            <w:tcBorders>
              <w:top w:val="single" w:sz="6" w:space="0" w:color="auto"/>
              <w:bottom w:val="single" w:sz="6" w:space="0" w:color="auto"/>
              <w:right w:val="single" w:sz="6" w:space="0" w:color="auto"/>
            </w:tcBorders>
          </w:tcPr>
          <w:p w14:paraId="73A4BDF2" w14:textId="77777777" w:rsidR="00144DB2" w:rsidRPr="00F70C1E" w:rsidRDefault="00144DB2" w:rsidP="006D389B">
            <w:pPr>
              <w:pStyle w:val="wTableNormal"/>
              <w:jc w:val="center"/>
            </w:pPr>
            <w:r w:rsidRPr="00F70C1E">
              <w:t>10</w:t>
            </w:r>
          </w:p>
        </w:tc>
        <w:tc>
          <w:tcPr>
            <w:tcW w:w="1552" w:type="dxa"/>
            <w:tcBorders>
              <w:top w:val="single" w:sz="6" w:space="0" w:color="auto"/>
              <w:left w:val="single" w:sz="6" w:space="0" w:color="auto"/>
              <w:bottom w:val="single" w:sz="6" w:space="0" w:color="auto"/>
              <w:right w:val="single" w:sz="6" w:space="0" w:color="auto"/>
            </w:tcBorders>
          </w:tcPr>
          <w:p w14:paraId="1217E1BB" w14:textId="77777777" w:rsidR="00144DB2" w:rsidRDefault="00144DB2" w:rsidP="006D389B">
            <w:pPr>
              <w:pStyle w:val="wTableNormal"/>
              <w:tabs>
                <w:tab w:val="decimal" w:pos="1012"/>
              </w:tabs>
            </w:pPr>
            <w:r w:rsidRPr="00982ABF">
              <w:t>$</w:t>
            </w:r>
            <w:r>
              <w:t>16,383</w:t>
            </w:r>
          </w:p>
        </w:tc>
        <w:tc>
          <w:tcPr>
            <w:tcW w:w="1760" w:type="dxa"/>
            <w:tcBorders>
              <w:top w:val="single" w:sz="6" w:space="0" w:color="auto"/>
              <w:left w:val="single" w:sz="6" w:space="0" w:color="auto"/>
              <w:bottom w:val="single" w:sz="6" w:space="0" w:color="auto"/>
              <w:right w:val="single" w:sz="6" w:space="0" w:color="auto"/>
            </w:tcBorders>
          </w:tcPr>
          <w:p w14:paraId="393B7D4E" w14:textId="77777777" w:rsidR="00144DB2" w:rsidRDefault="00144DB2" w:rsidP="006D389B">
            <w:pPr>
              <w:pStyle w:val="wTableNormal"/>
              <w:tabs>
                <w:tab w:val="decimal" w:pos="1170"/>
              </w:tabs>
            </w:pPr>
            <w:r w:rsidRPr="00982ABF">
              <w:t>$</w:t>
            </w:r>
            <w:r>
              <w:t>15,626</w:t>
            </w:r>
          </w:p>
        </w:tc>
        <w:tc>
          <w:tcPr>
            <w:tcW w:w="1210" w:type="dxa"/>
            <w:tcBorders>
              <w:top w:val="single" w:sz="6" w:space="0" w:color="auto"/>
              <w:left w:val="single" w:sz="6" w:space="0" w:color="auto"/>
              <w:bottom w:val="single" w:sz="6" w:space="0" w:color="auto"/>
              <w:right w:val="single" w:sz="6" w:space="0" w:color="auto"/>
            </w:tcBorders>
          </w:tcPr>
          <w:p w14:paraId="3A42DFEB" w14:textId="77777777" w:rsidR="00144DB2" w:rsidRDefault="00144DB2" w:rsidP="006D389B">
            <w:pPr>
              <w:pStyle w:val="wTableNormal"/>
              <w:tabs>
                <w:tab w:val="decimal" w:pos="850"/>
              </w:tabs>
            </w:pPr>
            <w:r w:rsidRPr="00982ABF">
              <w:t>$</w:t>
            </w:r>
            <w:r>
              <w:t>757</w:t>
            </w:r>
          </w:p>
        </w:tc>
        <w:tc>
          <w:tcPr>
            <w:tcW w:w="1591" w:type="dxa"/>
            <w:tcBorders>
              <w:top w:val="single" w:sz="6" w:space="0" w:color="auto"/>
              <w:left w:val="single" w:sz="6" w:space="0" w:color="auto"/>
              <w:bottom w:val="single" w:sz="6" w:space="0" w:color="auto"/>
            </w:tcBorders>
            <w:vAlign w:val="center"/>
          </w:tcPr>
          <w:p w14:paraId="32951842" w14:textId="77777777" w:rsidR="00144DB2" w:rsidRDefault="00144DB2" w:rsidP="006D389B">
            <w:pPr>
              <w:pStyle w:val="wTableNormal"/>
              <w:tabs>
                <w:tab w:val="decimal" w:pos="630"/>
              </w:tabs>
            </w:pPr>
            <w:r>
              <w:t>4.8</w:t>
            </w:r>
            <w:r w:rsidRPr="00CD7856">
              <w:t>%</w:t>
            </w:r>
          </w:p>
        </w:tc>
      </w:tr>
      <w:tr w:rsidR="00144DB2" w:rsidRPr="006D389B" w14:paraId="5629D5FD" w14:textId="77777777" w:rsidTr="009F31E2">
        <w:trPr>
          <w:jc w:val="center"/>
        </w:trPr>
        <w:tc>
          <w:tcPr>
            <w:tcW w:w="814" w:type="dxa"/>
            <w:tcBorders>
              <w:top w:val="single" w:sz="6" w:space="0" w:color="auto"/>
              <w:bottom w:val="single" w:sz="6" w:space="0" w:color="auto"/>
              <w:right w:val="single" w:sz="6" w:space="0" w:color="auto"/>
            </w:tcBorders>
          </w:tcPr>
          <w:p w14:paraId="01F19F5F" w14:textId="77777777" w:rsidR="00144DB2" w:rsidRPr="00F70C1E" w:rsidRDefault="00144DB2" w:rsidP="006D389B">
            <w:pPr>
              <w:pStyle w:val="wTableNormal"/>
              <w:jc w:val="center"/>
            </w:pPr>
            <w:r w:rsidRPr="00F70C1E">
              <w:t>15</w:t>
            </w:r>
          </w:p>
        </w:tc>
        <w:tc>
          <w:tcPr>
            <w:tcW w:w="1552" w:type="dxa"/>
            <w:tcBorders>
              <w:top w:val="single" w:sz="6" w:space="0" w:color="auto"/>
              <w:left w:val="single" w:sz="6" w:space="0" w:color="auto"/>
              <w:bottom w:val="single" w:sz="6" w:space="0" w:color="auto"/>
              <w:right w:val="single" w:sz="6" w:space="0" w:color="auto"/>
            </w:tcBorders>
          </w:tcPr>
          <w:p w14:paraId="2D7BBB9B" w14:textId="77777777" w:rsidR="00144DB2" w:rsidRDefault="00144DB2" w:rsidP="006D389B">
            <w:pPr>
              <w:pStyle w:val="wTableNormal"/>
              <w:tabs>
                <w:tab w:val="decimal" w:pos="1012"/>
              </w:tabs>
            </w:pPr>
            <w:r w:rsidRPr="00982ABF">
              <w:t>$</w:t>
            </w:r>
            <w:r>
              <w:t>39,899</w:t>
            </w:r>
          </w:p>
        </w:tc>
        <w:tc>
          <w:tcPr>
            <w:tcW w:w="1760" w:type="dxa"/>
            <w:tcBorders>
              <w:top w:val="single" w:sz="6" w:space="0" w:color="auto"/>
              <w:left w:val="single" w:sz="6" w:space="0" w:color="auto"/>
              <w:bottom w:val="single" w:sz="6" w:space="0" w:color="auto"/>
              <w:right w:val="single" w:sz="6" w:space="0" w:color="auto"/>
            </w:tcBorders>
          </w:tcPr>
          <w:p w14:paraId="7ED8F6B5" w14:textId="77777777" w:rsidR="00144DB2" w:rsidRDefault="00144DB2" w:rsidP="006D389B">
            <w:pPr>
              <w:pStyle w:val="wTableNormal"/>
              <w:tabs>
                <w:tab w:val="decimal" w:pos="1170"/>
              </w:tabs>
            </w:pPr>
            <w:r w:rsidRPr="00982ABF">
              <w:t>$</w:t>
            </w:r>
            <w:r>
              <w:t>36,956</w:t>
            </w:r>
          </w:p>
        </w:tc>
        <w:tc>
          <w:tcPr>
            <w:tcW w:w="1210" w:type="dxa"/>
            <w:tcBorders>
              <w:top w:val="single" w:sz="6" w:space="0" w:color="auto"/>
              <w:left w:val="single" w:sz="6" w:space="0" w:color="auto"/>
              <w:bottom w:val="single" w:sz="6" w:space="0" w:color="auto"/>
              <w:right w:val="single" w:sz="6" w:space="0" w:color="auto"/>
            </w:tcBorders>
          </w:tcPr>
          <w:p w14:paraId="647D86F2" w14:textId="77777777" w:rsidR="00144DB2" w:rsidRDefault="00144DB2" w:rsidP="006D389B">
            <w:pPr>
              <w:pStyle w:val="wTableNormal"/>
              <w:tabs>
                <w:tab w:val="decimal" w:pos="850"/>
              </w:tabs>
            </w:pPr>
            <w:r w:rsidRPr="00982ABF">
              <w:t>$</w:t>
            </w:r>
            <w:r>
              <w:t>2,943</w:t>
            </w:r>
          </w:p>
        </w:tc>
        <w:tc>
          <w:tcPr>
            <w:tcW w:w="1591" w:type="dxa"/>
            <w:tcBorders>
              <w:top w:val="single" w:sz="6" w:space="0" w:color="auto"/>
              <w:left w:val="single" w:sz="6" w:space="0" w:color="auto"/>
              <w:bottom w:val="single" w:sz="6" w:space="0" w:color="auto"/>
            </w:tcBorders>
            <w:vAlign w:val="center"/>
          </w:tcPr>
          <w:p w14:paraId="3EAEE23B" w14:textId="77777777" w:rsidR="00144DB2" w:rsidRDefault="00144DB2" w:rsidP="006D389B">
            <w:pPr>
              <w:pStyle w:val="wTableNormal"/>
              <w:tabs>
                <w:tab w:val="decimal" w:pos="630"/>
              </w:tabs>
            </w:pPr>
            <w:r>
              <w:t>8.0</w:t>
            </w:r>
            <w:r w:rsidRPr="00CD7856">
              <w:t>%</w:t>
            </w:r>
          </w:p>
        </w:tc>
      </w:tr>
      <w:tr w:rsidR="00144DB2" w:rsidRPr="006D389B" w14:paraId="1D4C8210" w14:textId="77777777" w:rsidTr="009F31E2">
        <w:trPr>
          <w:jc w:val="center"/>
        </w:trPr>
        <w:tc>
          <w:tcPr>
            <w:tcW w:w="814" w:type="dxa"/>
            <w:tcBorders>
              <w:top w:val="single" w:sz="6" w:space="0" w:color="auto"/>
              <w:bottom w:val="single" w:sz="6" w:space="0" w:color="auto"/>
              <w:right w:val="single" w:sz="6" w:space="0" w:color="auto"/>
            </w:tcBorders>
          </w:tcPr>
          <w:p w14:paraId="1E031B9C" w14:textId="77777777" w:rsidR="00144DB2" w:rsidRPr="00F70C1E" w:rsidRDefault="00144DB2" w:rsidP="006D389B">
            <w:pPr>
              <w:pStyle w:val="wTableNormal"/>
              <w:jc w:val="center"/>
            </w:pPr>
            <w:r w:rsidRPr="00F70C1E">
              <w:t>20</w:t>
            </w:r>
          </w:p>
        </w:tc>
        <w:tc>
          <w:tcPr>
            <w:tcW w:w="1552" w:type="dxa"/>
            <w:tcBorders>
              <w:top w:val="single" w:sz="6" w:space="0" w:color="auto"/>
              <w:left w:val="single" w:sz="6" w:space="0" w:color="auto"/>
              <w:bottom w:val="single" w:sz="6" w:space="0" w:color="auto"/>
              <w:right w:val="single" w:sz="6" w:space="0" w:color="auto"/>
            </w:tcBorders>
          </w:tcPr>
          <w:p w14:paraId="7846FB32" w14:textId="77777777" w:rsidR="00144DB2" w:rsidRDefault="00144DB2" w:rsidP="006D389B">
            <w:pPr>
              <w:pStyle w:val="wTableNormal"/>
              <w:tabs>
                <w:tab w:val="decimal" w:pos="1012"/>
              </w:tabs>
            </w:pPr>
            <w:r w:rsidRPr="00982ABF">
              <w:t>$</w:t>
            </w:r>
            <w:r>
              <w:t>78,345</w:t>
            </w:r>
          </w:p>
        </w:tc>
        <w:tc>
          <w:tcPr>
            <w:tcW w:w="1760" w:type="dxa"/>
            <w:tcBorders>
              <w:top w:val="single" w:sz="6" w:space="0" w:color="auto"/>
              <w:left w:val="single" w:sz="6" w:space="0" w:color="auto"/>
              <w:bottom w:val="single" w:sz="6" w:space="0" w:color="auto"/>
              <w:right w:val="single" w:sz="6" w:space="0" w:color="auto"/>
            </w:tcBorders>
          </w:tcPr>
          <w:p w14:paraId="561FB0F6" w14:textId="77777777" w:rsidR="00144DB2" w:rsidRDefault="00144DB2" w:rsidP="006D389B">
            <w:pPr>
              <w:pStyle w:val="wTableNormal"/>
              <w:tabs>
                <w:tab w:val="decimal" w:pos="1170"/>
              </w:tabs>
            </w:pPr>
            <w:r w:rsidRPr="00982ABF">
              <w:t>$</w:t>
            </w:r>
            <w:r>
              <w:t>70,307</w:t>
            </w:r>
          </w:p>
        </w:tc>
        <w:tc>
          <w:tcPr>
            <w:tcW w:w="1210" w:type="dxa"/>
            <w:tcBorders>
              <w:top w:val="single" w:sz="6" w:space="0" w:color="auto"/>
              <w:left w:val="single" w:sz="6" w:space="0" w:color="auto"/>
              <w:bottom w:val="single" w:sz="6" w:space="0" w:color="auto"/>
              <w:right w:val="single" w:sz="6" w:space="0" w:color="auto"/>
            </w:tcBorders>
          </w:tcPr>
          <w:p w14:paraId="18D4BAB1" w14:textId="77777777" w:rsidR="00144DB2" w:rsidRDefault="00144DB2" w:rsidP="006D389B">
            <w:pPr>
              <w:pStyle w:val="wTableNormal"/>
              <w:tabs>
                <w:tab w:val="decimal" w:pos="850"/>
              </w:tabs>
            </w:pPr>
            <w:r w:rsidRPr="00982ABF">
              <w:t>$</w:t>
            </w:r>
            <w:r>
              <w:t>8,038</w:t>
            </w:r>
          </w:p>
        </w:tc>
        <w:tc>
          <w:tcPr>
            <w:tcW w:w="1591" w:type="dxa"/>
            <w:tcBorders>
              <w:top w:val="single" w:sz="6" w:space="0" w:color="auto"/>
              <w:left w:val="single" w:sz="6" w:space="0" w:color="auto"/>
              <w:bottom w:val="single" w:sz="6" w:space="0" w:color="auto"/>
            </w:tcBorders>
            <w:vAlign w:val="center"/>
          </w:tcPr>
          <w:p w14:paraId="340ACC4D" w14:textId="77777777" w:rsidR="00144DB2" w:rsidRDefault="00144DB2" w:rsidP="006D389B">
            <w:pPr>
              <w:pStyle w:val="wTableNormal"/>
              <w:tabs>
                <w:tab w:val="decimal" w:pos="630"/>
              </w:tabs>
            </w:pPr>
            <w:r>
              <w:t>11.4</w:t>
            </w:r>
            <w:r w:rsidRPr="00CD7856">
              <w:t>%</w:t>
            </w:r>
          </w:p>
        </w:tc>
      </w:tr>
      <w:tr w:rsidR="00144DB2" w:rsidRPr="006D389B" w14:paraId="43A30831" w14:textId="77777777" w:rsidTr="009F31E2">
        <w:trPr>
          <w:jc w:val="center"/>
        </w:trPr>
        <w:tc>
          <w:tcPr>
            <w:tcW w:w="814" w:type="dxa"/>
            <w:tcBorders>
              <w:top w:val="single" w:sz="6" w:space="0" w:color="auto"/>
              <w:bottom w:val="single" w:sz="6" w:space="0" w:color="auto"/>
              <w:right w:val="single" w:sz="6" w:space="0" w:color="auto"/>
            </w:tcBorders>
          </w:tcPr>
          <w:p w14:paraId="1B265C5B" w14:textId="77777777" w:rsidR="00144DB2" w:rsidRPr="00F70C1E" w:rsidRDefault="00144DB2" w:rsidP="006D389B">
            <w:pPr>
              <w:pStyle w:val="wTableNormal"/>
              <w:jc w:val="center"/>
            </w:pPr>
            <w:r w:rsidRPr="00F70C1E">
              <w:t>25</w:t>
            </w:r>
          </w:p>
        </w:tc>
        <w:tc>
          <w:tcPr>
            <w:tcW w:w="1552" w:type="dxa"/>
            <w:tcBorders>
              <w:top w:val="single" w:sz="6" w:space="0" w:color="auto"/>
              <w:left w:val="single" w:sz="6" w:space="0" w:color="auto"/>
              <w:bottom w:val="single" w:sz="6" w:space="0" w:color="auto"/>
              <w:right w:val="single" w:sz="6" w:space="0" w:color="auto"/>
            </w:tcBorders>
          </w:tcPr>
          <w:p w14:paraId="29B1DFE8" w14:textId="77777777" w:rsidR="00144DB2" w:rsidRDefault="00144DB2" w:rsidP="006D389B">
            <w:pPr>
              <w:pStyle w:val="wTableNormal"/>
              <w:tabs>
                <w:tab w:val="decimal" w:pos="1012"/>
              </w:tabs>
            </w:pPr>
            <w:r w:rsidRPr="00982ABF">
              <w:t>$</w:t>
            </w:r>
            <w:r>
              <w:t>136,770</w:t>
            </w:r>
          </w:p>
        </w:tc>
        <w:tc>
          <w:tcPr>
            <w:tcW w:w="1760" w:type="dxa"/>
            <w:tcBorders>
              <w:top w:val="single" w:sz="6" w:space="0" w:color="auto"/>
              <w:left w:val="single" w:sz="6" w:space="0" w:color="auto"/>
              <w:bottom w:val="single" w:sz="6" w:space="0" w:color="auto"/>
              <w:right w:val="single" w:sz="6" w:space="0" w:color="auto"/>
            </w:tcBorders>
          </w:tcPr>
          <w:p w14:paraId="27E7A0BF" w14:textId="77777777" w:rsidR="00144DB2" w:rsidRDefault="00144DB2" w:rsidP="006D389B">
            <w:pPr>
              <w:pStyle w:val="wTableNormal"/>
              <w:tabs>
                <w:tab w:val="decimal" w:pos="1170"/>
              </w:tabs>
            </w:pPr>
            <w:r w:rsidRPr="00982ABF">
              <w:t>$</w:t>
            </w:r>
            <w:r>
              <w:t>118,639</w:t>
            </w:r>
          </w:p>
        </w:tc>
        <w:tc>
          <w:tcPr>
            <w:tcW w:w="1210" w:type="dxa"/>
            <w:tcBorders>
              <w:top w:val="single" w:sz="6" w:space="0" w:color="auto"/>
              <w:left w:val="single" w:sz="6" w:space="0" w:color="auto"/>
              <w:bottom w:val="single" w:sz="6" w:space="0" w:color="auto"/>
              <w:right w:val="single" w:sz="6" w:space="0" w:color="auto"/>
            </w:tcBorders>
          </w:tcPr>
          <w:p w14:paraId="7C0E9494" w14:textId="77777777" w:rsidR="00144DB2" w:rsidRDefault="00144DB2" w:rsidP="006D389B">
            <w:pPr>
              <w:pStyle w:val="wTableNormal"/>
              <w:tabs>
                <w:tab w:val="decimal" w:pos="850"/>
              </w:tabs>
            </w:pPr>
            <w:r w:rsidRPr="00982ABF">
              <w:t>$</w:t>
            </w:r>
            <w:r>
              <w:t>18,131</w:t>
            </w:r>
          </w:p>
        </w:tc>
        <w:tc>
          <w:tcPr>
            <w:tcW w:w="1591" w:type="dxa"/>
            <w:tcBorders>
              <w:top w:val="single" w:sz="6" w:space="0" w:color="auto"/>
              <w:left w:val="single" w:sz="6" w:space="0" w:color="auto"/>
              <w:bottom w:val="single" w:sz="6" w:space="0" w:color="auto"/>
            </w:tcBorders>
            <w:vAlign w:val="center"/>
          </w:tcPr>
          <w:p w14:paraId="5666DFC2" w14:textId="77777777" w:rsidR="00144DB2" w:rsidRDefault="00144DB2" w:rsidP="006D389B">
            <w:pPr>
              <w:pStyle w:val="wTableNormal"/>
              <w:tabs>
                <w:tab w:val="decimal" w:pos="630"/>
              </w:tabs>
            </w:pPr>
            <w:r>
              <w:t>15.3</w:t>
            </w:r>
            <w:r w:rsidRPr="00CD7856">
              <w:t>%</w:t>
            </w:r>
          </w:p>
        </w:tc>
      </w:tr>
      <w:tr w:rsidR="00144DB2" w:rsidRPr="006D389B" w14:paraId="292C6A70" w14:textId="77777777" w:rsidTr="009F31E2">
        <w:trPr>
          <w:trHeight w:val="213"/>
          <w:jc w:val="center"/>
        </w:trPr>
        <w:tc>
          <w:tcPr>
            <w:tcW w:w="814" w:type="dxa"/>
            <w:tcBorders>
              <w:top w:val="single" w:sz="6" w:space="0" w:color="auto"/>
              <w:bottom w:val="single" w:sz="6" w:space="0" w:color="auto"/>
              <w:right w:val="single" w:sz="6" w:space="0" w:color="auto"/>
            </w:tcBorders>
          </w:tcPr>
          <w:p w14:paraId="607E1D29" w14:textId="77777777" w:rsidR="00144DB2" w:rsidRPr="00F70C1E" w:rsidRDefault="00144DB2" w:rsidP="006D389B">
            <w:pPr>
              <w:pStyle w:val="wTableNormal"/>
              <w:jc w:val="center"/>
            </w:pPr>
            <w:r w:rsidRPr="00F70C1E">
              <w:t>30</w:t>
            </w:r>
          </w:p>
        </w:tc>
        <w:tc>
          <w:tcPr>
            <w:tcW w:w="1552" w:type="dxa"/>
            <w:tcBorders>
              <w:top w:val="single" w:sz="6" w:space="0" w:color="auto"/>
              <w:left w:val="single" w:sz="6" w:space="0" w:color="auto"/>
              <w:bottom w:val="single" w:sz="6" w:space="0" w:color="auto"/>
              <w:right w:val="single" w:sz="6" w:space="0" w:color="auto"/>
            </w:tcBorders>
          </w:tcPr>
          <w:p w14:paraId="6131942C" w14:textId="77777777" w:rsidR="00144DB2" w:rsidRDefault="00144DB2" w:rsidP="006D389B">
            <w:pPr>
              <w:pStyle w:val="wTableNormal"/>
              <w:tabs>
                <w:tab w:val="decimal" w:pos="1012"/>
              </w:tabs>
            </w:pPr>
            <w:r w:rsidRPr="00982ABF">
              <w:t>$</w:t>
            </w:r>
            <w:r>
              <w:t>221,931</w:t>
            </w:r>
          </w:p>
        </w:tc>
        <w:tc>
          <w:tcPr>
            <w:tcW w:w="1760" w:type="dxa"/>
            <w:tcBorders>
              <w:top w:val="single" w:sz="6" w:space="0" w:color="auto"/>
              <w:left w:val="single" w:sz="6" w:space="0" w:color="auto"/>
              <w:bottom w:val="single" w:sz="6" w:space="0" w:color="auto"/>
              <w:right w:val="single" w:sz="6" w:space="0" w:color="auto"/>
            </w:tcBorders>
          </w:tcPr>
          <w:p w14:paraId="460E3380" w14:textId="77777777" w:rsidR="00144DB2" w:rsidRDefault="00144DB2" w:rsidP="006D389B">
            <w:pPr>
              <w:pStyle w:val="wTableNormal"/>
              <w:tabs>
                <w:tab w:val="decimal" w:pos="1170"/>
              </w:tabs>
            </w:pPr>
            <w:r w:rsidRPr="00982ABF">
              <w:t>$</w:t>
            </w:r>
            <w:r>
              <w:t>185,638</w:t>
            </w:r>
          </w:p>
        </w:tc>
        <w:tc>
          <w:tcPr>
            <w:tcW w:w="1210" w:type="dxa"/>
            <w:tcBorders>
              <w:top w:val="single" w:sz="6" w:space="0" w:color="auto"/>
              <w:left w:val="single" w:sz="6" w:space="0" w:color="auto"/>
              <w:bottom w:val="single" w:sz="6" w:space="0" w:color="auto"/>
              <w:right w:val="single" w:sz="6" w:space="0" w:color="auto"/>
            </w:tcBorders>
          </w:tcPr>
          <w:p w14:paraId="29DA9556" w14:textId="77777777" w:rsidR="00144DB2" w:rsidRDefault="00144DB2" w:rsidP="006D389B">
            <w:pPr>
              <w:pStyle w:val="wTableNormal"/>
              <w:tabs>
                <w:tab w:val="decimal" w:pos="850"/>
              </w:tabs>
            </w:pPr>
            <w:r w:rsidRPr="00982ABF">
              <w:t>$</w:t>
            </w:r>
            <w:r>
              <w:t>36,293</w:t>
            </w:r>
          </w:p>
        </w:tc>
        <w:tc>
          <w:tcPr>
            <w:tcW w:w="1591" w:type="dxa"/>
            <w:tcBorders>
              <w:top w:val="single" w:sz="6" w:space="0" w:color="auto"/>
              <w:left w:val="single" w:sz="6" w:space="0" w:color="auto"/>
              <w:bottom w:val="single" w:sz="6" w:space="0" w:color="auto"/>
            </w:tcBorders>
            <w:vAlign w:val="center"/>
          </w:tcPr>
          <w:p w14:paraId="419FC3EE" w14:textId="77777777" w:rsidR="00144DB2" w:rsidRDefault="00144DB2" w:rsidP="006D389B">
            <w:pPr>
              <w:pStyle w:val="wTableNormal"/>
              <w:tabs>
                <w:tab w:val="decimal" w:pos="630"/>
              </w:tabs>
            </w:pPr>
            <w:r>
              <w:t>19.6</w:t>
            </w:r>
            <w:r w:rsidRPr="00CD7856">
              <w:t>%</w:t>
            </w:r>
          </w:p>
        </w:tc>
      </w:tr>
      <w:tr w:rsidR="00C67C32" w:rsidRPr="006D389B" w14:paraId="420D7510" w14:textId="77777777" w:rsidTr="006D389B">
        <w:trPr>
          <w:trHeight w:val="402"/>
          <w:jc w:val="center"/>
        </w:trPr>
        <w:tc>
          <w:tcPr>
            <w:tcW w:w="6927" w:type="dxa"/>
            <w:gridSpan w:val="5"/>
            <w:tcBorders>
              <w:top w:val="single" w:sz="6" w:space="0" w:color="auto"/>
            </w:tcBorders>
          </w:tcPr>
          <w:p w14:paraId="27FC1086" w14:textId="77777777" w:rsidR="00C67C32" w:rsidRPr="006D389B" w:rsidRDefault="00C67C32" w:rsidP="00C67C32">
            <w:pPr>
              <w:pStyle w:val="wTableNormal"/>
              <w:rPr>
                <w:sz w:val="18"/>
                <w:szCs w:val="18"/>
              </w:rPr>
            </w:pPr>
            <w:r w:rsidRPr="006D389B">
              <w:rPr>
                <w:sz w:val="18"/>
                <w:szCs w:val="18"/>
              </w:rPr>
              <w:t>*Actual earnings are shown reduced to reflect income taxes in a 25 percent bracket.</w:t>
            </w:r>
          </w:p>
          <w:p w14:paraId="0C12A340" w14:textId="77777777" w:rsidR="00C67C32" w:rsidRPr="006D389B" w:rsidRDefault="00C67C32" w:rsidP="00C67C32">
            <w:pPr>
              <w:pStyle w:val="wTableNormal"/>
              <w:rPr>
                <w:sz w:val="18"/>
                <w:szCs w:val="18"/>
              </w:rPr>
            </w:pPr>
            <w:r w:rsidRPr="006D389B">
              <w:rPr>
                <w:sz w:val="18"/>
                <w:szCs w:val="18"/>
              </w:rPr>
              <w:t>‡Taxes due in a 25 percent bracket are assumed paid from the account each year.</w:t>
            </w:r>
          </w:p>
        </w:tc>
      </w:tr>
    </w:tbl>
    <w:p w14:paraId="1950C41A" w14:textId="77777777" w:rsidR="00434CE0" w:rsidRPr="000B485C" w:rsidRDefault="00332AAF" w:rsidP="008A290E">
      <w:pPr>
        <w:spacing w:before="120"/>
        <w:rPr>
          <w:szCs w:val="22"/>
        </w:rPr>
      </w:pPr>
      <w:r>
        <w:rPr>
          <w:szCs w:val="22"/>
        </w:rPr>
        <w:t xml:space="preserve">When looking at the chart showing the impact of tax deferral on earnings, it is important to bear in mind that the numbers reflect </w:t>
      </w:r>
      <w:r>
        <w:rPr>
          <w:i/>
          <w:szCs w:val="22"/>
        </w:rPr>
        <w:t>earnings only</w:t>
      </w:r>
      <w:r>
        <w:rPr>
          <w:szCs w:val="22"/>
        </w:rPr>
        <w:t>; they don’t reflect the total accumulation.</w:t>
      </w:r>
      <w:r w:rsidR="00297ACB">
        <w:rPr>
          <w:szCs w:val="22"/>
        </w:rPr>
        <w:t xml:space="preserve"> </w:t>
      </w:r>
      <w:r w:rsidR="00434CE0" w:rsidRPr="000B485C">
        <w:rPr>
          <w:szCs w:val="22"/>
        </w:rPr>
        <w:t xml:space="preserve">Notice that there is a </w:t>
      </w:r>
      <w:r w:rsidR="00AE1B95">
        <w:rPr>
          <w:szCs w:val="22"/>
        </w:rPr>
        <w:t>1</w:t>
      </w:r>
      <w:r>
        <w:rPr>
          <w:szCs w:val="22"/>
        </w:rPr>
        <w:t>9.</w:t>
      </w:r>
      <w:r w:rsidR="00AE1B95">
        <w:rPr>
          <w:szCs w:val="22"/>
        </w:rPr>
        <w:t>6</w:t>
      </w:r>
      <w:r>
        <w:rPr>
          <w:szCs w:val="22"/>
        </w:rPr>
        <w:t xml:space="preserve"> percent</w:t>
      </w:r>
      <w:r w:rsidR="00434CE0" w:rsidRPr="000B485C">
        <w:rPr>
          <w:szCs w:val="22"/>
        </w:rPr>
        <w:t xml:space="preserve"> increase in earnings over 30 years for the tax-deferred account after </w:t>
      </w:r>
      <w:r>
        <w:rPr>
          <w:szCs w:val="22"/>
        </w:rPr>
        <w:t>the</w:t>
      </w:r>
      <w:r w:rsidR="00434CE0" w:rsidRPr="000B485C">
        <w:rPr>
          <w:szCs w:val="22"/>
        </w:rPr>
        <w:t xml:space="preserve"> client has taken a distribution and paid taxes on those earnings.</w:t>
      </w:r>
      <w:r w:rsidR="00297ACB">
        <w:rPr>
          <w:szCs w:val="22"/>
        </w:rPr>
        <w:t xml:space="preserve"> </w:t>
      </w:r>
      <w:r w:rsidR="00434CE0" w:rsidRPr="000B485C">
        <w:rPr>
          <w:szCs w:val="22"/>
        </w:rPr>
        <w:t xml:space="preserve">The reason for the substantial difference </w:t>
      </w:r>
      <w:r>
        <w:rPr>
          <w:szCs w:val="22"/>
        </w:rPr>
        <w:t xml:space="preserve">between the two accounts </w:t>
      </w:r>
      <w:r w:rsidR="00434CE0" w:rsidRPr="000B485C">
        <w:rPr>
          <w:szCs w:val="22"/>
        </w:rPr>
        <w:t xml:space="preserve">is </w:t>
      </w:r>
      <w:r>
        <w:rPr>
          <w:szCs w:val="22"/>
        </w:rPr>
        <w:t>due to the</w:t>
      </w:r>
      <w:r w:rsidR="00434CE0" w:rsidRPr="000B485C">
        <w:rPr>
          <w:szCs w:val="22"/>
        </w:rPr>
        <w:t xml:space="preserve"> client</w:t>
      </w:r>
      <w:r>
        <w:rPr>
          <w:szCs w:val="22"/>
        </w:rPr>
        <w:t>’s having</w:t>
      </w:r>
      <w:r w:rsidR="00434CE0" w:rsidRPr="000B485C">
        <w:rPr>
          <w:szCs w:val="22"/>
        </w:rPr>
        <w:t xml:space="preserve"> paid income taxes </w:t>
      </w:r>
      <w:r w:rsidR="008A290E">
        <w:rPr>
          <w:szCs w:val="22"/>
        </w:rPr>
        <w:t xml:space="preserve">each year </w:t>
      </w:r>
      <w:r w:rsidR="00434CE0" w:rsidRPr="000B485C">
        <w:rPr>
          <w:szCs w:val="22"/>
        </w:rPr>
        <w:t xml:space="preserve">over the 30 years on the </w:t>
      </w:r>
      <w:r>
        <w:rPr>
          <w:szCs w:val="22"/>
        </w:rPr>
        <w:t>currently-taxable</w:t>
      </w:r>
      <w:r w:rsidR="00434CE0" w:rsidRPr="000B485C">
        <w:rPr>
          <w:szCs w:val="22"/>
        </w:rPr>
        <w:t xml:space="preserve"> account</w:t>
      </w:r>
      <w:r w:rsidR="008A290E">
        <w:rPr>
          <w:szCs w:val="22"/>
        </w:rPr>
        <w:t xml:space="preserve"> by withdrawing an amount from the account equal to the current income tax liability</w:t>
      </w:r>
      <w:r w:rsidR="00434CE0" w:rsidRPr="000B485C">
        <w:rPr>
          <w:szCs w:val="22"/>
        </w:rPr>
        <w:t>.</w:t>
      </w:r>
      <w:r w:rsidR="00297ACB">
        <w:rPr>
          <w:szCs w:val="22"/>
        </w:rPr>
        <w:t xml:space="preserve"> </w:t>
      </w:r>
      <w:r>
        <w:rPr>
          <w:szCs w:val="22"/>
        </w:rPr>
        <w:t xml:space="preserve">Since that </w:t>
      </w:r>
      <w:r w:rsidR="00434CE0" w:rsidRPr="000B485C">
        <w:rPr>
          <w:szCs w:val="22"/>
        </w:rPr>
        <w:t>money was paid in taxes</w:t>
      </w:r>
      <w:r w:rsidR="00193A89">
        <w:rPr>
          <w:szCs w:val="22"/>
        </w:rPr>
        <w:t>,</w:t>
      </w:r>
      <w:r w:rsidR="00434CE0" w:rsidRPr="000B485C">
        <w:rPr>
          <w:szCs w:val="22"/>
        </w:rPr>
        <w:t xml:space="preserve"> it was not available to earn </w:t>
      </w:r>
      <w:r w:rsidR="00117EA3">
        <w:rPr>
          <w:szCs w:val="22"/>
        </w:rPr>
        <w:t xml:space="preserve">additional </w:t>
      </w:r>
      <w:r w:rsidR="00434CE0" w:rsidRPr="000B485C">
        <w:rPr>
          <w:szCs w:val="22"/>
        </w:rPr>
        <w:t>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434CE0" w:rsidRPr="000B485C">
        <w:rPr>
          <w:szCs w:val="22"/>
        </w:rPr>
        <w:t xml:space="preserve">That’s why tax-deferral </w:t>
      </w:r>
      <w:r w:rsidR="00193A89">
        <w:rPr>
          <w:szCs w:val="22"/>
        </w:rPr>
        <w:t>makes a big difference</w:t>
      </w:r>
      <w:r w:rsidR="00434CE0" w:rsidRPr="000B485C">
        <w:rPr>
          <w:szCs w:val="22"/>
        </w:rPr>
        <w:t>.</w:t>
      </w:r>
    </w:p>
    <w:p w14:paraId="4A7FD264" w14:textId="77777777" w:rsidR="00434CE0" w:rsidRPr="000B485C" w:rsidRDefault="00193A89" w:rsidP="00825E0B">
      <w:pPr>
        <w:rPr>
          <w:szCs w:val="22"/>
        </w:rPr>
      </w:pPr>
      <w:r>
        <w:rPr>
          <w:szCs w:val="22"/>
        </w:rPr>
        <w:t xml:space="preserve">The comparison between the currently-taxed account and the tax-deferred account assumes </w:t>
      </w:r>
      <w:r w:rsidR="00434CE0" w:rsidRPr="000B485C">
        <w:rPr>
          <w:szCs w:val="22"/>
        </w:rPr>
        <w:t xml:space="preserve">that </w:t>
      </w:r>
      <w:r>
        <w:rPr>
          <w:szCs w:val="22"/>
        </w:rPr>
        <w:t>the</w:t>
      </w:r>
      <w:r w:rsidR="00434CE0" w:rsidRPr="000B485C">
        <w:rPr>
          <w:szCs w:val="22"/>
        </w:rPr>
        <w:t xml:space="preserve"> client </w:t>
      </w:r>
      <w:r>
        <w:rPr>
          <w:szCs w:val="22"/>
        </w:rPr>
        <w:t>remained in the same 25 percent</w:t>
      </w:r>
      <w:r w:rsidR="00434CE0" w:rsidRPr="000B485C">
        <w:rPr>
          <w:szCs w:val="22"/>
        </w:rPr>
        <w:t xml:space="preserve"> tax bracket throughout the 30 years.</w:t>
      </w:r>
      <w:r w:rsidR="00297ACB">
        <w:rPr>
          <w:szCs w:val="22"/>
        </w:rPr>
        <w:t xml:space="preserve"> </w:t>
      </w:r>
      <w:r w:rsidR="00434CE0" w:rsidRPr="000B485C">
        <w:rPr>
          <w:szCs w:val="22"/>
        </w:rPr>
        <w:t>Of course, we certainly don’t know that the client’s tax bracket won’t change.</w:t>
      </w:r>
      <w:r w:rsidR="00297ACB">
        <w:rPr>
          <w:szCs w:val="22"/>
        </w:rPr>
        <w:t xml:space="preserve"> </w:t>
      </w:r>
      <w:r>
        <w:rPr>
          <w:szCs w:val="22"/>
        </w:rPr>
        <w:t>In fact, when the client takes the funds from the tax-deferred account, he or she may very well be retired and in a lower tax bracket, thereby making the difference even greater.</w:t>
      </w:r>
    </w:p>
    <w:p w14:paraId="24B721F8" w14:textId="77777777" w:rsidR="00434CE0" w:rsidRPr="000B485C" w:rsidRDefault="00644903" w:rsidP="00825E0B">
      <w:pPr>
        <w:rPr>
          <w:szCs w:val="22"/>
        </w:rPr>
      </w:pPr>
      <w:r>
        <w:rPr>
          <w:szCs w:val="22"/>
        </w:rPr>
        <w:t>It should be clear that tax deferral is an important element in making an investment go further.</w:t>
      </w:r>
      <w:r w:rsidR="00297ACB">
        <w:rPr>
          <w:szCs w:val="22"/>
        </w:rPr>
        <w:t xml:space="preserve"> </w:t>
      </w:r>
      <w:r>
        <w:rPr>
          <w:szCs w:val="22"/>
        </w:rPr>
        <w:t xml:space="preserve">Deferral of taxation on the </w:t>
      </w:r>
      <w:r>
        <w:rPr>
          <w:i/>
          <w:szCs w:val="22"/>
        </w:rPr>
        <w:t>growth</w:t>
      </w:r>
      <w:r>
        <w:rPr>
          <w:szCs w:val="22"/>
        </w:rPr>
        <w:t xml:space="preserve"> of an investment is obviously important.</w:t>
      </w:r>
      <w:r w:rsidR="00297ACB">
        <w:rPr>
          <w:szCs w:val="22"/>
        </w:rPr>
        <w:t xml:space="preserve"> </w:t>
      </w:r>
      <w:r>
        <w:rPr>
          <w:szCs w:val="22"/>
        </w:rPr>
        <w:t xml:space="preserve">Traditional IRAs, </w:t>
      </w:r>
      <w:r>
        <w:rPr>
          <w:szCs w:val="22"/>
        </w:rPr>
        <w:lastRenderedPageBreak/>
        <w:t xml:space="preserve">however, may also enable the owner to defer taxes on the </w:t>
      </w:r>
      <w:r w:rsidRPr="00644903">
        <w:rPr>
          <w:i/>
          <w:szCs w:val="22"/>
        </w:rPr>
        <w:t>contribution</w:t>
      </w:r>
      <w:r>
        <w:rPr>
          <w:szCs w:val="22"/>
        </w:rPr>
        <w:t xml:space="preserve"> as well.</w:t>
      </w:r>
      <w:r w:rsidR="00297ACB">
        <w:rPr>
          <w:szCs w:val="22"/>
        </w:rPr>
        <w:t xml:space="preserve"> </w:t>
      </w:r>
      <w:r>
        <w:rPr>
          <w:szCs w:val="22"/>
        </w:rPr>
        <w:t xml:space="preserve">In other words, the contribution may be deductible. </w:t>
      </w:r>
      <w:r w:rsidR="00434CE0" w:rsidRPr="000B485C">
        <w:rPr>
          <w:szCs w:val="22"/>
        </w:rPr>
        <w:t>Let’s look at the same analysis</w:t>
      </w:r>
      <w:r>
        <w:rPr>
          <w:szCs w:val="22"/>
        </w:rPr>
        <w:t xml:space="preserve"> we just did</w:t>
      </w:r>
      <w:r w:rsidR="00434CE0" w:rsidRPr="000B485C">
        <w:rPr>
          <w:szCs w:val="22"/>
        </w:rPr>
        <w:t>, but this time we’ll compare a fully deductible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with a </w:t>
      </w:r>
      <w:r>
        <w:rPr>
          <w:szCs w:val="22"/>
        </w:rPr>
        <w:t xml:space="preserve">contribution to a </w:t>
      </w:r>
      <w:r w:rsidR="00434CE0" w:rsidRPr="000B485C">
        <w:rPr>
          <w:szCs w:val="22"/>
        </w:rPr>
        <w:t>non-deductible, non-deferred account</w:t>
      </w:r>
      <w:r>
        <w:rPr>
          <w:szCs w:val="22"/>
        </w:rPr>
        <w:t xml:space="preserve"> paying the same level of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Pr>
          <w:szCs w:val="22"/>
        </w:rPr>
        <w:t>In our analysis, b</w:t>
      </w:r>
      <w:r w:rsidR="00434CE0" w:rsidRPr="000B485C">
        <w:rPr>
          <w:szCs w:val="22"/>
        </w:rPr>
        <w:t xml:space="preserve">oth accounts </w:t>
      </w:r>
      <w:r>
        <w:rPr>
          <w:szCs w:val="22"/>
        </w:rPr>
        <w:t xml:space="preserve">will continue to </w:t>
      </w:r>
      <w:r w:rsidR="00434CE0" w:rsidRPr="000B485C">
        <w:rPr>
          <w:szCs w:val="22"/>
        </w:rPr>
        <w:t xml:space="preserve">earn </w:t>
      </w:r>
      <w:r w:rsidR="00AE1B95">
        <w:rPr>
          <w:szCs w:val="22"/>
        </w:rPr>
        <w:t>6</w:t>
      </w:r>
      <w:r>
        <w:rPr>
          <w:szCs w:val="22"/>
        </w:rPr>
        <w:t>%, and the client is still a 25</w:t>
      </w:r>
      <w:r w:rsidR="00434CE0" w:rsidRPr="000B485C">
        <w:rPr>
          <w:szCs w:val="22"/>
        </w:rPr>
        <w:t>% taxpayer.</w:t>
      </w:r>
      <w:r w:rsidR="00297ACB">
        <w:rPr>
          <w:szCs w:val="22"/>
        </w:rPr>
        <w:t xml:space="preserve"> </w:t>
      </w:r>
      <w:r>
        <w:rPr>
          <w:szCs w:val="22"/>
        </w:rPr>
        <w:t>The only difference is that the effect of</w:t>
      </w:r>
      <w:r w:rsidR="00434CE0" w:rsidRPr="000B485C">
        <w:rPr>
          <w:szCs w:val="22"/>
        </w:rPr>
        <w:t xml:space="preserve"> tax-deductibility</w:t>
      </w:r>
      <w:r>
        <w:rPr>
          <w:szCs w:val="22"/>
        </w:rPr>
        <w:t xml:space="preserve"> is being added</w:t>
      </w:r>
      <w:r w:rsidR="00434CE0" w:rsidRPr="000B485C">
        <w:rPr>
          <w:szCs w:val="22"/>
        </w:rPr>
        <w:t>.</w:t>
      </w:r>
    </w:p>
    <w:p w14:paraId="209EE031" w14:textId="77777777" w:rsidR="00434CE0" w:rsidRPr="000C41A0" w:rsidRDefault="00434CE0" w:rsidP="00825E0B">
      <w:pPr>
        <w:rPr>
          <w:szCs w:val="22"/>
        </w:rPr>
      </w:pPr>
      <w:r w:rsidRPr="000B485C">
        <w:rPr>
          <w:szCs w:val="22"/>
        </w:rPr>
        <w:t xml:space="preserve">To compare these accounts </w:t>
      </w:r>
      <w:r w:rsidR="00644903">
        <w:rPr>
          <w:szCs w:val="22"/>
        </w:rPr>
        <w:t xml:space="preserve">fairly </w:t>
      </w:r>
      <w:r w:rsidR="00FE1CBD">
        <w:rPr>
          <w:szCs w:val="22"/>
        </w:rPr>
        <w:t>on an apples-to-apples</w:t>
      </w:r>
      <w:r w:rsidRPr="000B485C">
        <w:rPr>
          <w:szCs w:val="22"/>
        </w:rPr>
        <w:t xml:space="preserve"> basis, we need to start with the same amount of gross ea</w:t>
      </w:r>
      <w:r w:rsidR="00A056C5">
        <w:rPr>
          <w:szCs w:val="22"/>
        </w:rPr>
        <w:t>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00A056C5">
        <w:rPr>
          <w:szCs w:val="22"/>
        </w:rPr>
        <w:t>—$5</w:t>
      </w:r>
      <w:r w:rsidRPr="000B485C">
        <w:rPr>
          <w:szCs w:val="22"/>
        </w:rPr>
        <w:t>,</w:t>
      </w:r>
      <w:r w:rsidR="00144DB2">
        <w:rPr>
          <w:szCs w:val="22"/>
        </w:rPr>
        <w:t>5</w:t>
      </w:r>
      <w:r w:rsidRPr="000B485C">
        <w:rPr>
          <w:szCs w:val="22"/>
        </w:rPr>
        <w:t>00.</w:t>
      </w:r>
      <w:r w:rsidR="00297ACB">
        <w:rPr>
          <w:szCs w:val="22"/>
        </w:rPr>
        <w:t xml:space="preserve"> </w:t>
      </w:r>
      <w:r w:rsidR="00644903">
        <w:rPr>
          <w:szCs w:val="22"/>
        </w:rPr>
        <w:t>In</w:t>
      </w:r>
      <w:r w:rsidRPr="000B485C">
        <w:rPr>
          <w:szCs w:val="22"/>
        </w:rPr>
        <w:t xml:space="preserve"> a fully-deductible</w:t>
      </w:r>
      <w:r w:rsidR="00693C06">
        <w:rPr>
          <w:szCs w:val="22"/>
        </w:rPr>
        <w:t xml:space="preserve"> account</w:t>
      </w:r>
      <w:r w:rsidRPr="000B485C">
        <w:rPr>
          <w:szCs w:val="22"/>
        </w:rPr>
        <w:t xml:space="preserve"> the </w:t>
      </w:r>
      <w:r w:rsidR="00644903">
        <w:rPr>
          <w:szCs w:val="22"/>
        </w:rPr>
        <w:t>entire</w:t>
      </w:r>
      <w:r w:rsidRPr="000B485C">
        <w:rPr>
          <w:szCs w:val="22"/>
        </w:rPr>
        <w:t xml:space="preserve"> $</w:t>
      </w:r>
      <w:r w:rsidR="00A056C5">
        <w:rPr>
          <w:szCs w:val="22"/>
        </w:rPr>
        <w:t>5</w:t>
      </w:r>
      <w:r w:rsidRPr="000B485C">
        <w:rPr>
          <w:szCs w:val="22"/>
        </w:rPr>
        <w:t>,</w:t>
      </w:r>
      <w:r w:rsidR="00144DB2">
        <w:rPr>
          <w:szCs w:val="22"/>
        </w:rPr>
        <w:t>5</w:t>
      </w:r>
      <w:r w:rsidRPr="000B485C">
        <w:rPr>
          <w:szCs w:val="22"/>
        </w:rPr>
        <w:t>00 is contributed without any income taxes being paid.</w:t>
      </w:r>
      <w:r w:rsidR="00297ACB">
        <w:rPr>
          <w:szCs w:val="22"/>
        </w:rPr>
        <w:t xml:space="preserve"> </w:t>
      </w:r>
      <w:r w:rsidRPr="000B485C">
        <w:rPr>
          <w:szCs w:val="22"/>
        </w:rPr>
        <w:t xml:space="preserve">In the non-deductible, non-deferred account, </w:t>
      </w:r>
      <w:r w:rsidR="00644903">
        <w:rPr>
          <w:szCs w:val="22"/>
        </w:rPr>
        <w:t>y</w:t>
      </w:r>
      <w:r w:rsidRPr="000B485C">
        <w:rPr>
          <w:szCs w:val="22"/>
        </w:rPr>
        <w:t>our client</w:t>
      </w:r>
      <w:r w:rsidR="00644903">
        <w:rPr>
          <w:szCs w:val="22"/>
        </w:rPr>
        <w:t xml:space="preserve"> must pay </w:t>
      </w:r>
      <w:r w:rsidR="003F5B65">
        <w:rPr>
          <w:szCs w:val="22"/>
        </w:rPr>
        <w:t xml:space="preserve">current </w:t>
      </w:r>
      <w:r w:rsidR="00644903">
        <w:rPr>
          <w:szCs w:val="22"/>
        </w:rPr>
        <w:t xml:space="preserve">taxes </w:t>
      </w:r>
      <w:r w:rsidR="003F5B65">
        <w:rPr>
          <w:szCs w:val="22"/>
        </w:rPr>
        <w:t xml:space="preserve">on the contribution </w:t>
      </w:r>
      <w:r w:rsidR="00644903">
        <w:rPr>
          <w:szCs w:val="22"/>
        </w:rPr>
        <w:t>in his or her 25</w:t>
      </w:r>
      <w:r w:rsidRPr="000B485C">
        <w:rPr>
          <w:szCs w:val="22"/>
        </w:rPr>
        <w:t>% tax bracket</w:t>
      </w:r>
      <w:r w:rsidR="003F5B65">
        <w:rPr>
          <w:szCs w:val="22"/>
        </w:rPr>
        <w:t xml:space="preserve"> as well as on the income produced</w:t>
      </w:r>
      <w:r w:rsidR="00693C06">
        <w:rPr>
          <w:szCs w:val="22"/>
        </w:rPr>
        <w:t xml:space="preserve"> by the investment</w:t>
      </w:r>
      <w:r w:rsidRPr="000B485C">
        <w:rPr>
          <w:szCs w:val="22"/>
        </w:rPr>
        <w:t>.</w:t>
      </w:r>
      <w:r w:rsidR="00297ACB">
        <w:rPr>
          <w:szCs w:val="22"/>
        </w:rPr>
        <w:t xml:space="preserve"> </w:t>
      </w:r>
      <w:r w:rsidR="00DB650C">
        <w:rPr>
          <w:szCs w:val="22"/>
        </w:rPr>
        <w:t>Payment of income taxes</w:t>
      </w:r>
      <w:r w:rsidRPr="000B485C">
        <w:rPr>
          <w:szCs w:val="22"/>
        </w:rPr>
        <w:t xml:space="preserve"> wi</w:t>
      </w:r>
      <w:r w:rsidR="00C808B1">
        <w:rPr>
          <w:szCs w:val="22"/>
        </w:rPr>
        <w:t>ll reduce the $5</w:t>
      </w:r>
      <w:r w:rsidRPr="000B485C">
        <w:rPr>
          <w:szCs w:val="22"/>
        </w:rPr>
        <w:t>,</w:t>
      </w:r>
      <w:r w:rsidR="00144DB2">
        <w:rPr>
          <w:szCs w:val="22"/>
        </w:rPr>
        <w:t>5</w:t>
      </w:r>
      <w:r w:rsidRPr="000B485C">
        <w:rPr>
          <w:szCs w:val="22"/>
        </w:rPr>
        <w:t>00 by $</w:t>
      </w:r>
      <w:r w:rsidR="00C808B1">
        <w:rPr>
          <w:szCs w:val="22"/>
        </w:rPr>
        <w:t>1,</w:t>
      </w:r>
      <w:r w:rsidR="00144DB2">
        <w:rPr>
          <w:szCs w:val="22"/>
        </w:rPr>
        <w:t>375</w:t>
      </w:r>
      <w:r w:rsidRPr="000B485C">
        <w:rPr>
          <w:szCs w:val="22"/>
        </w:rPr>
        <w:t xml:space="preserve"> and leave $</w:t>
      </w:r>
      <w:r w:rsidR="00144DB2">
        <w:rPr>
          <w:szCs w:val="22"/>
        </w:rPr>
        <w:t>4,125</w:t>
      </w:r>
      <w:r w:rsidRPr="000B485C">
        <w:rPr>
          <w:szCs w:val="22"/>
        </w:rPr>
        <w:t xml:space="preserve"> for investment purposes.</w:t>
      </w:r>
      <w:r w:rsidR="000C41A0">
        <w:rPr>
          <w:szCs w:val="22"/>
        </w:rPr>
        <w:t xml:space="preserve"> ($5,</w:t>
      </w:r>
      <w:r w:rsidR="00144DB2">
        <w:rPr>
          <w:szCs w:val="22"/>
        </w:rPr>
        <w:t>5</w:t>
      </w:r>
      <w:r w:rsidR="000C41A0">
        <w:rPr>
          <w:szCs w:val="22"/>
        </w:rPr>
        <w:t xml:space="preserve">00 </w:t>
      </w:r>
      <w:r w:rsidR="000C41A0">
        <w:rPr>
          <w:i/>
          <w:szCs w:val="22"/>
        </w:rPr>
        <w:t>x</w:t>
      </w:r>
      <w:r w:rsidR="000C41A0">
        <w:rPr>
          <w:szCs w:val="22"/>
        </w:rPr>
        <w:t xml:space="preserve"> 25% = $1,</w:t>
      </w:r>
      <w:r w:rsidR="00144DB2">
        <w:rPr>
          <w:szCs w:val="22"/>
        </w:rPr>
        <w:t>375</w:t>
      </w:r>
      <w:r w:rsidR="000C41A0">
        <w:rPr>
          <w:szCs w:val="22"/>
        </w:rPr>
        <w:t>; $5,</w:t>
      </w:r>
      <w:r w:rsidR="00144DB2">
        <w:rPr>
          <w:szCs w:val="22"/>
        </w:rPr>
        <w:t>5</w:t>
      </w:r>
      <w:r w:rsidR="000C41A0">
        <w:rPr>
          <w:szCs w:val="22"/>
        </w:rPr>
        <w:t>00 - $1,</w:t>
      </w:r>
      <w:r w:rsidR="00144DB2">
        <w:rPr>
          <w:szCs w:val="22"/>
        </w:rPr>
        <w:t>375</w:t>
      </w:r>
      <w:r w:rsidR="000C41A0">
        <w:rPr>
          <w:szCs w:val="22"/>
        </w:rPr>
        <w:t xml:space="preserve"> = $</w:t>
      </w:r>
      <w:r w:rsidR="00144DB2">
        <w:rPr>
          <w:szCs w:val="22"/>
        </w:rPr>
        <w:t>4,125</w:t>
      </w:r>
      <w:r w:rsidR="000C41A0">
        <w:rPr>
          <w:szCs w:val="22"/>
        </w:rPr>
        <w:t>)</w:t>
      </w:r>
    </w:p>
    <w:p w14:paraId="0A0B7B04" w14:textId="77777777" w:rsidR="003F5B65" w:rsidRPr="003F5B65" w:rsidRDefault="003F5B65" w:rsidP="008A290E">
      <w:pPr>
        <w:spacing w:before="120"/>
        <w:rPr>
          <w:szCs w:val="22"/>
        </w:rPr>
      </w:pPr>
      <w:r>
        <w:rPr>
          <w:szCs w:val="22"/>
        </w:rPr>
        <w:t xml:space="preserve">When </w:t>
      </w:r>
      <w:r w:rsidRPr="003F5B65">
        <w:rPr>
          <w:i/>
          <w:szCs w:val="22"/>
        </w:rPr>
        <w:t>tax-deductible contributions</w:t>
      </w:r>
      <w:r>
        <w:rPr>
          <w:szCs w:val="22"/>
        </w:rPr>
        <w:t xml:space="preserve"> and </w:t>
      </w:r>
      <w:r w:rsidRPr="003F5B65">
        <w:rPr>
          <w:i/>
          <w:szCs w:val="22"/>
        </w:rPr>
        <w:t>tax-deferred growth</w:t>
      </w:r>
      <w:r>
        <w:rPr>
          <w:szCs w:val="22"/>
        </w:rPr>
        <w:t xml:space="preserve"> are combined, the results are </w:t>
      </w:r>
      <w:r w:rsidR="00E32AAB">
        <w:rPr>
          <w:szCs w:val="22"/>
        </w:rPr>
        <w:t>still</w:t>
      </w:r>
      <w:r>
        <w:rPr>
          <w:szCs w:val="22"/>
        </w:rPr>
        <w:t xml:space="preserve"> more startling.</w:t>
      </w:r>
      <w:r w:rsidR="00297ACB">
        <w:rPr>
          <w:szCs w:val="22"/>
        </w:rPr>
        <w:t xml:space="preserve"> </w:t>
      </w:r>
      <w:r w:rsidR="00E32AAB">
        <w:rPr>
          <w:szCs w:val="22"/>
        </w:rPr>
        <w:t xml:space="preserve">Even after taxes are paid on </w:t>
      </w:r>
      <w:r w:rsidR="00693C06">
        <w:rPr>
          <w:szCs w:val="22"/>
        </w:rPr>
        <w:t xml:space="preserve">distributions from </w:t>
      </w:r>
      <w:r w:rsidR="00E32AAB">
        <w:rPr>
          <w:szCs w:val="22"/>
        </w:rPr>
        <w:t xml:space="preserve">the tax-deductible, tax-deferred account in a 25 percent tax bracket, the account owner has </w:t>
      </w:r>
      <w:r w:rsidR="00AE1B95">
        <w:rPr>
          <w:szCs w:val="22"/>
        </w:rPr>
        <w:t>31.4</w:t>
      </w:r>
      <w:r w:rsidR="00E32AAB">
        <w:rPr>
          <w:szCs w:val="22"/>
        </w:rPr>
        <w:t xml:space="preserve"> percent more money in that account</w:t>
      </w:r>
      <w:r w:rsidR="008A290E">
        <w:rPr>
          <w:szCs w:val="22"/>
        </w:rPr>
        <w:t>—based on our assumptions—</w:t>
      </w:r>
      <w:r w:rsidR="00E32AAB">
        <w:rPr>
          <w:szCs w:val="22"/>
        </w:rPr>
        <w:t>than in the currently taxed, non-deductible account after 30 years!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8"/>
        <w:gridCol w:w="2111"/>
        <w:gridCol w:w="1980"/>
        <w:gridCol w:w="1320"/>
        <w:gridCol w:w="1416"/>
      </w:tblGrid>
      <w:tr w:rsidR="003A758A" w:rsidRPr="006D389B" w14:paraId="384F22D2" w14:textId="77777777" w:rsidTr="006D389B">
        <w:trPr>
          <w:trHeight w:val="492"/>
          <w:jc w:val="center"/>
        </w:trPr>
        <w:tc>
          <w:tcPr>
            <w:tcW w:w="968"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757AF94E" w14:textId="77777777" w:rsidR="003F5B65" w:rsidRPr="00DB46CB" w:rsidRDefault="003F5B65" w:rsidP="006D389B">
            <w:pPr>
              <w:pStyle w:val="WTableHeaderChar"/>
              <w:spacing w:before="160"/>
            </w:pPr>
            <w:r w:rsidRPr="00DB46CB">
              <w:t>Years</w:t>
            </w:r>
          </w:p>
        </w:tc>
        <w:tc>
          <w:tcPr>
            <w:tcW w:w="2111"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09BB0FAA" w14:textId="77777777" w:rsidR="003F5B65" w:rsidRPr="00DB46CB" w:rsidRDefault="003F5B65" w:rsidP="003A758A">
            <w:pPr>
              <w:pStyle w:val="WTableHeaderChar"/>
            </w:pPr>
            <w:r w:rsidRPr="00DB46CB">
              <w:t>Tax-Deferred</w:t>
            </w:r>
            <w:r w:rsidR="00C67C32">
              <w:br/>
            </w:r>
            <w:r w:rsidRPr="00DB46CB">
              <w:t>Account Value</w:t>
            </w:r>
            <w:r w:rsidR="00E32AAB" w:rsidRPr="00DB46CB">
              <w:t>*</w:t>
            </w:r>
          </w:p>
        </w:tc>
        <w:tc>
          <w:tcPr>
            <w:tcW w:w="198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685496A4" w14:textId="77777777" w:rsidR="003F5B65" w:rsidRPr="00DB46CB" w:rsidRDefault="003F5B65" w:rsidP="003A758A">
            <w:pPr>
              <w:pStyle w:val="WTableHeaderChar"/>
            </w:pPr>
            <w:r w:rsidRPr="00DB46CB">
              <w:t>Currently-Taxed</w:t>
            </w:r>
            <w:r w:rsidR="00C67C32">
              <w:br/>
            </w:r>
            <w:r w:rsidRPr="00144DB2">
              <w:rPr>
                <w:rStyle w:val="StyleArial11ptBoldChar"/>
                <w:b/>
              </w:rPr>
              <w:t>Account Value</w:t>
            </w:r>
            <w:r w:rsidR="00E32AAB" w:rsidRPr="00A219FB">
              <w:t>‡</w:t>
            </w:r>
          </w:p>
        </w:tc>
        <w:tc>
          <w:tcPr>
            <w:tcW w:w="132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10240007" w14:textId="77777777" w:rsidR="003F5B65" w:rsidRPr="00DB46CB" w:rsidRDefault="003F5B65" w:rsidP="003A758A">
            <w:pPr>
              <w:pStyle w:val="WTableHeaderChar"/>
            </w:pPr>
            <w:r w:rsidRPr="00DB46CB">
              <w:t>Dollar</w:t>
            </w:r>
            <w:r w:rsidR="00C67C32">
              <w:br/>
            </w:r>
            <w:r w:rsidRPr="00DB46CB">
              <w:t>Difference</w:t>
            </w:r>
          </w:p>
        </w:tc>
        <w:tc>
          <w:tcPr>
            <w:tcW w:w="1416"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5021B5FA" w14:textId="77777777" w:rsidR="003F5B65" w:rsidRPr="00DB46CB" w:rsidRDefault="003F5B65" w:rsidP="003A758A">
            <w:pPr>
              <w:pStyle w:val="WTableHeaderChar"/>
            </w:pPr>
            <w:r w:rsidRPr="00DB46CB">
              <w:t>Percentage</w:t>
            </w:r>
            <w:r w:rsidR="00C67C32">
              <w:br/>
            </w:r>
            <w:r w:rsidRPr="00DB46CB">
              <w:t>Difference</w:t>
            </w:r>
          </w:p>
        </w:tc>
      </w:tr>
      <w:tr w:rsidR="00144DB2" w:rsidRPr="006D389B" w14:paraId="5C41F51E" w14:textId="77777777" w:rsidTr="006D389B">
        <w:trPr>
          <w:jc w:val="center"/>
        </w:trPr>
        <w:tc>
          <w:tcPr>
            <w:tcW w:w="968" w:type="dxa"/>
            <w:tcBorders>
              <w:bottom w:val="single" w:sz="6" w:space="0" w:color="auto"/>
              <w:right w:val="single" w:sz="6" w:space="0" w:color="auto"/>
            </w:tcBorders>
            <w:vAlign w:val="center"/>
          </w:tcPr>
          <w:p w14:paraId="4EF79473" w14:textId="77777777" w:rsidR="00144DB2" w:rsidRPr="006D389B" w:rsidRDefault="00144DB2" w:rsidP="006D389B">
            <w:pPr>
              <w:pStyle w:val="wTableNormal"/>
              <w:jc w:val="center"/>
              <w:rPr>
                <w:szCs w:val="22"/>
              </w:rPr>
            </w:pPr>
            <w:r w:rsidRPr="006D389B">
              <w:rPr>
                <w:szCs w:val="22"/>
              </w:rPr>
              <w:t>5</w:t>
            </w:r>
          </w:p>
        </w:tc>
        <w:tc>
          <w:tcPr>
            <w:tcW w:w="2111" w:type="dxa"/>
            <w:tcBorders>
              <w:left w:val="single" w:sz="6" w:space="0" w:color="auto"/>
              <w:bottom w:val="single" w:sz="6" w:space="0" w:color="auto"/>
              <w:right w:val="single" w:sz="6" w:space="0" w:color="auto"/>
            </w:tcBorders>
            <w:vAlign w:val="center"/>
          </w:tcPr>
          <w:p w14:paraId="0B06E888" w14:textId="77777777" w:rsidR="00144DB2" w:rsidRPr="006D389B" w:rsidRDefault="00144DB2" w:rsidP="006D389B">
            <w:pPr>
              <w:pStyle w:val="wTableNormal"/>
              <w:ind w:right="513"/>
              <w:jc w:val="right"/>
              <w:rPr>
                <w:szCs w:val="22"/>
              </w:rPr>
            </w:pPr>
            <w:r w:rsidRPr="00982ABF">
              <w:t>$</w:t>
            </w:r>
            <w:r>
              <w:t>24,648</w:t>
            </w:r>
          </w:p>
        </w:tc>
        <w:tc>
          <w:tcPr>
            <w:tcW w:w="1980" w:type="dxa"/>
            <w:tcBorders>
              <w:left w:val="single" w:sz="6" w:space="0" w:color="auto"/>
              <w:bottom w:val="single" w:sz="6" w:space="0" w:color="auto"/>
              <w:right w:val="single" w:sz="6" w:space="0" w:color="auto"/>
            </w:tcBorders>
            <w:vAlign w:val="center"/>
          </w:tcPr>
          <w:p w14:paraId="23135A56" w14:textId="77777777" w:rsidR="00144DB2" w:rsidRPr="006D389B" w:rsidRDefault="00144DB2" w:rsidP="006D389B">
            <w:pPr>
              <w:pStyle w:val="wTableNormal"/>
              <w:ind w:right="513"/>
              <w:jc w:val="right"/>
              <w:rPr>
                <w:szCs w:val="22"/>
              </w:rPr>
            </w:pPr>
            <w:r w:rsidRPr="00982ABF">
              <w:t>$</w:t>
            </w:r>
            <w:r>
              <w:t>23,582</w:t>
            </w:r>
          </w:p>
        </w:tc>
        <w:tc>
          <w:tcPr>
            <w:tcW w:w="1320" w:type="dxa"/>
            <w:tcBorders>
              <w:left w:val="single" w:sz="6" w:space="0" w:color="auto"/>
              <w:bottom w:val="single" w:sz="6" w:space="0" w:color="auto"/>
              <w:right w:val="single" w:sz="6" w:space="0" w:color="auto"/>
            </w:tcBorders>
            <w:vAlign w:val="center"/>
          </w:tcPr>
          <w:p w14:paraId="387D602C" w14:textId="77777777" w:rsidR="00144DB2" w:rsidRPr="006D389B" w:rsidRDefault="00144DB2" w:rsidP="006D389B">
            <w:pPr>
              <w:pStyle w:val="wTableNormal"/>
              <w:ind w:right="213"/>
              <w:jc w:val="right"/>
              <w:rPr>
                <w:szCs w:val="22"/>
              </w:rPr>
            </w:pPr>
            <w:r w:rsidRPr="00982ABF">
              <w:t>$</w:t>
            </w:r>
            <w:r>
              <w:t>1,066</w:t>
            </w:r>
          </w:p>
        </w:tc>
        <w:tc>
          <w:tcPr>
            <w:tcW w:w="1416" w:type="dxa"/>
            <w:tcBorders>
              <w:left w:val="single" w:sz="6" w:space="0" w:color="auto"/>
              <w:bottom w:val="single" w:sz="6" w:space="0" w:color="auto"/>
            </w:tcBorders>
            <w:vAlign w:val="center"/>
          </w:tcPr>
          <w:p w14:paraId="3CDF440A" w14:textId="77777777" w:rsidR="00144DB2" w:rsidRPr="006D389B" w:rsidRDefault="00144DB2" w:rsidP="006D389B">
            <w:pPr>
              <w:pStyle w:val="wTableNormal"/>
              <w:ind w:right="369"/>
              <w:jc w:val="right"/>
              <w:rPr>
                <w:szCs w:val="22"/>
              </w:rPr>
            </w:pPr>
            <w:r w:rsidRPr="006D389B">
              <w:rPr>
                <w:szCs w:val="22"/>
              </w:rPr>
              <w:t>4.5%</w:t>
            </w:r>
          </w:p>
        </w:tc>
      </w:tr>
      <w:tr w:rsidR="00144DB2" w:rsidRPr="006D389B" w14:paraId="720420C0" w14:textId="77777777" w:rsidTr="006D389B">
        <w:trPr>
          <w:jc w:val="center"/>
        </w:trPr>
        <w:tc>
          <w:tcPr>
            <w:tcW w:w="968" w:type="dxa"/>
            <w:tcBorders>
              <w:top w:val="single" w:sz="6" w:space="0" w:color="auto"/>
              <w:bottom w:val="single" w:sz="6" w:space="0" w:color="auto"/>
              <w:right w:val="single" w:sz="6" w:space="0" w:color="auto"/>
            </w:tcBorders>
            <w:vAlign w:val="center"/>
          </w:tcPr>
          <w:p w14:paraId="696576A8" w14:textId="77777777" w:rsidR="00144DB2" w:rsidRPr="006D389B" w:rsidRDefault="00144DB2" w:rsidP="006D389B">
            <w:pPr>
              <w:pStyle w:val="wTableNormal"/>
              <w:jc w:val="center"/>
              <w:rPr>
                <w:szCs w:val="22"/>
              </w:rPr>
            </w:pPr>
            <w:r w:rsidRPr="006D389B">
              <w:rPr>
                <w:szCs w:val="22"/>
              </w:rPr>
              <w:t>10</w:t>
            </w:r>
          </w:p>
        </w:tc>
        <w:tc>
          <w:tcPr>
            <w:tcW w:w="2111" w:type="dxa"/>
            <w:tcBorders>
              <w:top w:val="single" w:sz="6" w:space="0" w:color="auto"/>
              <w:left w:val="single" w:sz="6" w:space="0" w:color="auto"/>
              <w:bottom w:val="single" w:sz="6" w:space="0" w:color="auto"/>
              <w:right w:val="single" w:sz="6" w:space="0" w:color="auto"/>
            </w:tcBorders>
            <w:vAlign w:val="center"/>
          </w:tcPr>
          <w:p w14:paraId="74860769" w14:textId="77777777" w:rsidR="00144DB2" w:rsidRPr="006D389B" w:rsidRDefault="00144DB2" w:rsidP="006D389B">
            <w:pPr>
              <w:pStyle w:val="wTableNormal"/>
              <w:ind w:right="513"/>
              <w:jc w:val="right"/>
              <w:rPr>
                <w:szCs w:val="22"/>
              </w:rPr>
            </w:pPr>
            <w:r w:rsidRPr="00982ABF">
              <w:t>$</w:t>
            </w:r>
            <w:r>
              <w:t>57,633</w:t>
            </w:r>
          </w:p>
        </w:tc>
        <w:tc>
          <w:tcPr>
            <w:tcW w:w="1980" w:type="dxa"/>
            <w:tcBorders>
              <w:top w:val="single" w:sz="6" w:space="0" w:color="auto"/>
              <w:left w:val="single" w:sz="6" w:space="0" w:color="auto"/>
              <w:bottom w:val="single" w:sz="6" w:space="0" w:color="auto"/>
              <w:right w:val="single" w:sz="6" w:space="0" w:color="auto"/>
            </w:tcBorders>
            <w:vAlign w:val="center"/>
          </w:tcPr>
          <w:p w14:paraId="54D73510" w14:textId="77777777" w:rsidR="00144DB2" w:rsidRPr="006D389B" w:rsidRDefault="00144DB2" w:rsidP="006D389B">
            <w:pPr>
              <w:pStyle w:val="wTableNormal"/>
              <w:ind w:right="513"/>
              <w:jc w:val="right"/>
              <w:rPr>
                <w:szCs w:val="22"/>
              </w:rPr>
            </w:pPr>
            <w:r w:rsidRPr="00982ABF">
              <w:t>$</w:t>
            </w:r>
            <w:r>
              <w:t>52,970</w:t>
            </w:r>
          </w:p>
        </w:tc>
        <w:tc>
          <w:tcPr>
            <w:tcW w:w="1320" w:type="dxa"/>
            <w:tcBorders>
              <w:top w:val="single" w:sz="6" w:space="0" w:color="auto"/>
              <w:left w:val="single" w:sz="6" w:space="0" w:color="auto"/>
              <w:bottom w:val="single" w:sz="6" w:space="0" w:color="auto"/>
              <w:right w:val="single" w:sz="6" w:space="0" w:color="auto"/>
            </w:tcBorders>
            <w:vAlign w:val="center"/>
          </w:tcPr>
          <w:p w14:paraId="5F1B92A2" w14:textId="77777777" w:rsidR="00144DB2" w:rsidRPr="006D389B" w:rsidRDefault="00144DB2" w:rsidP="006D389B">
            <w:pPr>
              <w:pStyle w:val="wTableNormal"/>
              <w:ind w:right="213"/>
              <w:jc w:val="right"/>
              <w:rPr>
                <w:szCs w:val="22"/>
              </w:rPr>
            </w:pPr>
            <w:r w:rsidRPr="00982ABF">
              <w:t>$</w:t>
            </w:r>
            <w:r>
              <w:t>4,663</w:t>
            </w:r>
          </w:p>
        </w:tc>
        <w:tc>
          <w:tcPr>
            <w:tcW w:w="1416" w:type="dxa"/>
            <w:tcBorders>
              <w:top w:val="single" w:sz="6" w:space="0" w:color="auto"/>
              <w:left w:val="single" w:sz="6" w:space="0" w:color="auto"/>
              <w:bottom w:val="single" w:sz="6" w:space="0" w:color="auto"/>
            </w:tcBorders>
            <w:vAlign w:val="center"/>
          </w:tcPr>
          <w:p w14:paraId="3FD5394D" w14:textId="77777777" w:rsidR="00144DB2" w:rsidRPr="006D389B" w:rsidRDefault="00144DB2" w:rsidP="006D389B">
            <w:pPr>
              <w:pStyle w:val="wTableNormal"/>
              <w:ind w:right="369"/>
              <w:jc w:val="right"/>
              <w:rPr>
                <w:szCs w:val="22"/>
              </w:rPr>
            </w:pPr>
            <w:r w:rsidRPr="006D389B">
              <w:rPr>
                <w:szCs w:val="22"/>
              </w:rPr>
              <w:t>8.8%</w:t>
            </w:r>
          </w:p>
        </w:tc>
      </w:tr>
      <w:tr w:rsidR="00144DB2" w:rsidRPr="006D389B" w14:paraId="3D0A04EE" w14:textId="77777777" w:rsidTr="006D389B">
        <w:trPr>
          <w:jc w:val="center"/>
        </w:trPr>
        <w:tc>
          <w:tcPr>
            <w:tcW w:w="968" w:type="dxa"/>
            <w:tcBorders>
              <w:top w:val="single" w:sz="6" w:space="0" w:color="auto"/>
              <w:bottom w:val="single" w:sz="6" w:space="0" w:color="auto"/>
              <w:right w:val="single" w:sz="6" w:space="0" w:color="auto"/>
            </w:tcBorders>
            <w:vAlign w:val="center"/>
          </w:tcPr>
          <w:p w14:paraId="23696787" w14:textId="77777777" w:rsidR="00144DB2" w:rsidRPr="006D389B" w:rsidRDefault="00144DB2" w:rsidP="006D389B">
            <w:pPr>
              <w:pStyle w:val="wTableNormal"/>
              <w:jc w:val="center"/>
              <w:rPr>
                <w:szCs w:val="22"/>
              </w:rPr>
            </w:pPr>
            <w:r w:rsidRPr="006D389B">
              <w:rPr>
                <w:szCs w:val="22"/>
              </w:rPr>
              <w:t>15</w:t>
            </w:r>
          </w:p>
        </w:tc>
        <w:tc>
          <w:tcPr>
            <w:tcW w:w="2111" w:type="dxa"/>
            <w:tcBorders>
              <w:top w:val="single" w:sz="6" w:space="0" w:color="auto"/>
              <w:left w:val="single" w:sz="6" w:space="0" w:color="auto"/>
              <w:bottom w:val="single" w:sz="6" w:space="0" w:color="auto"/>
              <w:right w:val="single" w:sz="6" w:space="0" w:color="auto"/>
            </w:tcBorders>
            <w:vAlign w:val="center"/>
          </w:tcPr>
          <w:p w14:paraId="1DB57099" w14:textId="77777777" w:rsidR="00144DB2" w:rsidRPr="006D389B" w:rsidRDefault="00144DB2" w:rsidP="006D389B">
            <w:pPr>
              <w:pStyle w:val="wTableNormal"/>
              <w:ind w:right="513"/>
              <w:jc w:val="right"/>
              <w:rPr>
                <w:szCs w:val="22"/>
              </w:rPr>
            </w:pPr>
            <w:r w:rsidRPr="00982ABF">
              <w:t>$</w:t>
            </w:r>
            <w:r>
              <w:t>101,774</w:t>
            </w:r>
          </w:p>
        </w:tc>
        <w:tc>
          <w:tcPr>
            <w:tcW w:w="1980" w:type="dxa"/>
            <w:tcBorders>
              <w:top w:val="single" w:sz="6" w:space="0" w:color="auto"/>
              <w:left w:val="single" w:sz="6" w:space="0" w:color="auto"/>
              <w:bottom w:val="single" w:sz="6" w:space="0" w:color="auto"/>
              <w:right w:val="single" w:sz="6" w:space="0" w:color="auto"/>
            </w:tcBorders>
            <w:vAlign w:val="center"/>
          </w:tcPr>
          <w:p w14:paraId="54AD6D28" w14:textId="77777777" w:rsidR="00144DB2" w:rsidRPr="006D389B" w:rsidRDefault="00144DB2" w:rsidP="006D389B">
            <w:pPr>
              <w:pStyle w:val="wTableNormal"/>
              <w:ind w:right="513"/>
              <w:jc w:val="right"/>
              <w:rPr>
                <w:szCs w:val="22"/>
              </w:rPr>
            </w:pPr>
            <w:r w:rsidRPr="00982ABF">
              <w:t>$</w:t>
            </w:r>
            <w:r>
              <w:t>89,592</w:t>
            </w:r>
          </w:p>
        </w:tc>
        <w:tc>
          <w:tcPr>
            <w:tcW w:w="1320" w:type="dxa"/>
            <w:tcBorders>
              <w:top w:val="single" w:sz="6" w:space="0" w:color="auto"/>
              <w:left w:val="single" w:sz="6" w:space="0" w:color="auto"/>
              <w:bottom w:val="single" w:sz="6" w:space="0" w:color="auto"/>
              <w:right w:val="single" w:sz="6" w:space="0" w:color="auto"/>
            </w:tcBorders>
            <w:vAlign w:val="center"/>
          </w:tcPr>
          <w:p w14:paraId="1C416DA0" w14:textId="77777777" w:rsidR="00144DB2" w:rsidRPr="006D389B" w:rsidRDefault="00144DB2" w:rsidP="006D389B">
            <w:pPr>
              <w:pStyle w:val="wTableNormal"/>
              <w:ind w:right="213"/>
              <w:jc w:val="right"/>
              <w:rPr>
                <w:szCs w:val="22"/>
              </w:rPr>
            </w:pPr>
            <w:r w:rsidRPr="00982ABF">
              <w:t>$</w:t>
            </w:r>
            <w:r>
              <w:t>12,182</w:t>
            </w:r>
          </w:p>
        </w:tc>
        <w:tc>
          <w:tcPr>
            <w:tcW w:w="1416" w:type="dxa"/>
            <w:tcBorders>
              <w:top w:val="single" w:sz="6" w:space="0" w:color="auto"/>
              <w:left w:val="single" w:sz="6" w:space="0" w:color="auto"/>
              <w:bottom w:val="single" w:sz="6" w:space="0" w:color="auto"/>
            </w:tcBorders>
            <w:vAlign w:val="center"/>
          </w:tcPr>
          <w:p w14:paraId="151761A7" w14:textId="77777777" w:rsidR="00144DB2" w:rsidRPr="006D389B" w:rsidRDefault="00144DB2" w:rsidP="006D389B">
            <w:pPr>
              <w:pStyle w:val="wTableNormal"/>
              <w:ind w:right="369"/>
              <w:jc w:val="right"/>
              <w:rPr>
                <w:szCs w:val="22"/>
              </w:rPr>
            </w:pPr>
            <w:r w:rsidRPr="006D389B">
              <w:rPr>
                <w:szCs w:val="22"/>
              </w:rPr>
              <w:t>13.6%</w:t>
            </w:r>
          </w:p>
        </w:tc>
      </w:tr>
      <w:tr w:rsidR="00144DB2" w:rsidRPr="006D389B" w14:paraId="13BD5748" w14:textId="77777777" w:rsidTr="006D389B">
        <w:trPr>
          <w:jc w:val="center"/>
        </w:trPr>
        <w:tc>
          <w:tcPr>
            <w:tcW w:w="968" w:type="dxa"/>
            <w:tcBorders>
              <w:top w:val="single" w:sz="6" w:space="0" w:color="auto"/>
              <w:bottom w:val="single" w:sz="6" w:space="0" w:color="auto"/>
              <w:right w:val="single" w:sz="6" w:space="0" w:color="auto"/>
            </w:tcBorders>
            <w:vAlign w:val="center"/>
          </w:tcPr>
          <w:p w14:paraId="446C0051" w14:textId="77777777" w:rsidR="00144DB2" w:rsidRPr="006D389B" w:rsidRDefault="00144DB2" w:rsidP="006D389B">
            <w:pPr>
              <w:pStyle w:val="wTableNormal"/>
              <w:jc w:val="center"/>
              <w:rPr>
                <w:szCs w:val="22"/>
              </w:rPr>
            </w:pPr>
            <w:r w:rsidRPr="006D389B">
              <w:rPr>
                <w:szCs w:val="22"/>
              </w:rPr>
              <w:t>20</w:t>
            </w:r>
          </w:p>
        </w:tc>
        <w:tc>
          <w:tcPr>
            <w:tcW w:w="2111" w:type="dxa"/>
            <w:tcBorders>
              <w:top w:val="single" w:sz="6" w:space="0" w:color="auto"/>
              <w:left w:val="single" w:sz="6" w:space="0" w:color="auto"/>
              <w:bottom w:val="single" w:sz="6" w:space="0" w:color="auto"/>
              <w:right w:val="single" w:sz="6" w:space="0" w:color="auto"/>
            </w:tcBorders>
            <w:vAlign w:val="center"/>
          </w:tcPr>
          <w:p w14:paraId="7E5505CE" w14:textId="77777777" w:rsidR="00144DB2" w:rsidRPr="006D389B" w:rsidRDefault="00144DB2" w:rsidP="006D389B">
            <w:pPr>
              <w:pStyle w:val="wTableNormal"/>
              <w:ind w:right="513"/>
              <w:jc w:val="right"/>
              <w:rPr>
                <w:szCs w:val="22"/>
              </w:rPr>
            </w:pPr>
            <w:r w:rsidRPr="00982ABF">
              <w:t>$</w:t>
            </w:r>
            <w:r>
              <w:t>160,845</w:t>
            </w:r>
          </w:p>
        </w:tc>
        <w:tc>
          <w:tcPr>
            <w:tcW w:w="1980" w:type="dxa"/>
            <w:tcBorders>
              <w:top w:val="single" w:sz="6" w:space="0" w:color="auto"/>
              <w:left w:val="single" w:sz="6" w:space="0" w:color="auto"/>
              <w:bottom w:val="single" w:sz="6" w:space="0" w:color="auto"/>
              <w:right w:val="single" w:sz="6" w:space="0" w:color="auto"/>
            </w:tcBorders>
            <w:vAlign w:val="center"/>
          </w:tcPr>
          <w:p w14:paraId="1ECC9CA2" w14:textId="77777777" w:rsidR="00144DB2" w:rsidRPr="006D389B" w:rsidRDefault="00144DB2" w:rsidP="006D389B">
            <w:pPr>
              <w:pStyle w:val="wTableNormal"/>
              <w:ind w:right="513"/>
              <w:jc w:val="right"/>
              <w:rPr>
                <w:szCs w:val="22"/>
              </w:rPr>
            </w:pPr>
            <w:r w:rsidRPr="00982ABF">
              <w:t>$</w:t>
            </w:r>
            <w:r>
              <w:t>135,230</w:t>
            </w:r>
          </w:p>
        </w:tc>
        <w:tc>
          <w:tcPr>
            <w:tcW w:w="1320" w:type="dxa"/>
            <w:tcBorders>
              <w:top w:val="single" w:sz="6" w:space="0" w:color="auto"/>
              <w:left w:val="single" w:sz="6" w:space="0" w:color="auto"/>
              <w:bottom w:val="single" w:sz="6" w:space="0" w:color="auto"/>
              <w:right w:val="single" w:sz="6" w:space="0" w:color="auto"/>
            </w:tcBorders>
            <w:vAlign w:val="center"/>
          </w:tcPr>
          <w:p w14:paraId="2AA1C2CD" w14:textId="77777777" w:rsidR="00144DB2" w:rsidRPr="006D389B" w:rsidRDefault="00144DB2" w:rsidP="006D389B">
            <w:pPr>
              <w:pStyle w:val="wTableNormal"/>
              <w:ind w:right="213"/>
              <w:jc w:val="right"/>
              <w:rPr>
                <w:szCs w:val="22"/>
              </w:rPr>
            </w:pPr>
            <w:r w:rsidRPr="00982ABF">
              <w:t>$</w:t>
            </w:r>
            <w:r>
              <w:t>25,615</w:t>
            </w:r>
          </w:p>
        </w:tc>
        <w:tc>
          <w:tcPr>
            <w:tcW w:w="1416" w:type="dxa"/>
            <w:tcBorders>
              <w:top w:val="single" w:sz="6" w:space="0" w:color="auto"/>
              <w:left w:val="single" w:sz="6" w:space="0" w:color="auto"/>
              <w:bottom w:val="single" w:sz="6" w:space="0" w:color="auto"/>
            </w:tcBorders>
            <w:vAlign w:val="center"/>
          </w:tcPr>
          <w:p w14:paraId="1ABB050C" w14:textId="77777777" w:rsidR="00144DB2" w:rsidRPr="006D389B" w:rsidRDefault="00144DB2" w:rsidP="006D389B">
            <w:pPr>
              <w:pStyle w:val="wTableNormal"/>
              <w:ind w:right="369"/>
              <w:jc w:val="right"/>
              <w:rPr>
                <w:szCs w:val="22"/>
              </w:rPr>
            </w:pPr>
            <w:r w:rsidRPr="006D389B">
              <w:rPr>
                <w:szCs w:val="22"/>
              </w:rPr>
              <w:t>18.9%</w:t>
            </w:r>
          </w:p>
        </w:tc>
      </w:tr>
      <w:tr w:rsidR="00144DB2" w:rsidRPr="006D389B" w14:paraId="4B245A6D" w14:textId="77777777" w:rsidTr="006D389B">
        <w:trPr>
          <w:jc w:val="center"/>
        </w:trPr>
        <w:tc>
          <w:tcPr>
            <w:tcW w:w="968" w:type="dxa"/>
            <w:tcBorders>
              <w:top w:val="single" w:sz="6" w:space="0" w:color="auto"/>
              <w:bottom w:val="single" w:sz="6" w:space="0" w:color="auto"/>
              <w:right w:val="single" w:sz="6" w:space="0" w:color="auto"/>
            </w:tcBorders>
            <w:vAlign w:val="center"/>
          </w:tcPr>
          <w:p w14:paraId="61CA284A" w14:textId="77777777" w:rsidR="00144DB2" w:rsidRPr="006D389B" w:rsidRDefault="00144DB2" w:rsidP="006D389B">
            <w:pPr>
              <w:pStyle w:val="wTableNormal"/>
              <w:jc w:val="center"/>
              <w:rPr>
                <w:szCs w:val="22"/>
              </w:rPr>
            </w:pPr>
            <w:r w:rsidRPr="006D389B">
              <w:rPr>
                <w:szCs w:val="22"/>
              </w:rPr>
              <w:t>25</w:t>
            </w:r>
          </w:p>
        </w:tc>
        <w:tc>
          <w:tcPr>
            <w:tcW w:w="2111" w:type="dxa"/>
            <w:tcBorders>
              <w:top w:val="single" w:sz="6" w:space="0" w:color="auto"/>
              <w:left w:val="single" w:sz="6" w:space="0" w:color="auto"/>
              <w:bottom w:val="single" w:sz="6" w:space="0" w:color="auto"/>
              <w:right w:val="single" w:sz="6" w:space="0" w:color="auto"/>
            </w:tcBorders>
            <w:vAlign w:val="center"/>
          </w:tcPr>
          <w:p w14:paraId="2378957F" w14:textId="77777777" w:rsidR="00144DB2" w:rsidRPr="006D389B" w:rsidRDefault="00144DB2" w:rsidP="006D389B">
            <w:pPr>
              <w:pStyle w:val="wTableNormal"/>
              <w:ind w:right="513"/>
              <w:jc w:val="right"/>
              <w:rPr>
                <w:szCs w:val="22"/>
              </w:rPr>
            </w:pPr>
            <w:r w:rsidRPr="00982ABF">
              <w:t>$</w:t>
            </w:r>
            <w:r>
              <w:t>239,895</w:t>
            </w:r>
          </w:p>
        </w:tc>
        <w:tc>
          <w:tcPr>
            <w:tcW w:w="1980" w:type="dxa"/>
            <w:tcBorders>
              <w:top w:val="single" w:sz="6" w:space="0" w:color="auto"/>
              <w:left w:val="single" w:sz="6" w:space="0" w:color="auto"/>
              <w:bottom w:val="single" w:sz="6" w:space="0" w:color="auto"/>
              <w:right w:val="single" w:sz="6" w:space="0" w:color="auto"/>
            </w:tcBorders>
            <w:vAlign w:val="center"/>
          </w:tcPr>
          <w:p w14:paraId="640BF137" w14:textId="77777777" w:rsidR="00144DB2" w:rsidRPr="006D389B" w:rsidRDefault="00144DB2" w:rsidP="006D389B">
            <w:pPr>
              <w:pStyle w:val="wTableNormal"/>
              <w:ind w:right="513"/>
              <w:jc w:val="right"/>
              <w:rPr>
                <w:szCs w:val="22"/>
              </w:rPr>
            </w:pPr>
            <w:r w:rsidRPr="00982ABF">
              <w:t>$</w:t>
            </w:r>
            <w:r>
              <w:t>192,104</w:t>
            </w:r>
          </w:p>
        </w:tc>
        <w:tc>
          <w:tcPr>
            <w:tcW w:w="1320" w:type="dxa"/>
            <w:tcBorders>
              <w:top w:val="single" w:sz="6" w:space="0" w:color="auto"/>
              <w:left w:val="single" w:sz="6" w:space="0" w:color="auto"/>
              <w:bottom w:val="single" w:sz="6" w:space="0" w:color="auto"/>
              <w:right w:val="single" w:sz="6" w:space="0" w:color="auto"/>
            </w:tcBorders>
            <w:vAlign w:val="center"/>
          </w:tcPr>
          <w:p w14:paraId="3931C125" w14:textId="77777777" w:rsidR="00144DB2" w:rsidRPr="006D389B" w:rsidRDefault="00144DB2" w:rsidP="006D389B">
            <w:pPr>
              <w:pStyle w:val="wTableNormal"/>
              <w:ind w:right="213"/>
              <w:jc w:val="right"/>
              <w:rPr>
                <w:szCs w:val="22"/>
              </w:rPr>
            </w:pPr>
            <w:r w:rsidRPr="00982ABF">
              <w:t>$</w:t>
            </w:r>
            <w:r>
              <w:t>47,791</w:t>
            </w:r>
          </w:p>
        </w:tc>
        <w:tc>
          <w:tcPr>
            <w:tcW w:w="1416" w:type="dxa"/>
            <w:tcBorders>
              <w:top w:val="single" w:sz="6" w:space="0" w:color="auto"/>
              <w:left w:val="single" w:sz="6" w:space="0" w:color="auto"/>
              <w:bottom w:val="single" w:sz="6" w:space="0" w:color="auto"/>
            </w:tcBorders>
            <w:vAlign w:val="center"/>
          </w:tcPr>
          <w:p w14:paraId="44CB6D13" w14:textId="77777777" w:rsidR="00144DB2" w:rsidRPr="006D389B" w:rsidRDefault="00144DB2" w:rsidP="006D389B">
            <w:pPr>
              <w:pStyle w:val="wTableNormal"/>
              <w:ind w:right="369"/>
              <w:jc w:val="right"/>
              <w:rPr>
                <w:szCs w:val="22"/>
              </w:rPr>
            </w:pPr>
            <w:r w:rsidRPr="006D389B">
              <w:rPr>
                <w:szCs w:val="22"/>
              </w:rPr>
              <w:t>24.9%</w:t>
            </w:r>
          </w:p>
        </w:tc>
      </w:tr>
      <w:tr w:rsidR="00144DB2" w:rsidRPr="006D389B" w14:paraId="7D81EC12" w14:textId="77777777" w:rsidTr="006D389B">
        <w:trPr>
          <w:trHeight w:val="168"/>
          <w:jc w:val="center"/>
        </w:trPr>
        <w:tc>
          <w:tcPr>
            <w:tcW w:w="968" w:type="dxa"/>
            <w:tcBorders>
              <w:top w:val="single" w:sz="6" w:space="0" w:color="auto"/>
              <w:bottom w:val="single" w:sz="6" w:space="0" w:color="auto"/>
              <w:right w:val="single" w:sz="6" w:space="0" w:color="auto"/>
            </w:tcBorders>
            <w:vAlign w:val="center"/>
          </w:tcPr>
          <w:p w14:paraId="4CADF059" w14:textId="77777777" w:rsidR="00144DB2" w:rsidRDefault="00144DB2" w:rsidP="006D389B">
            <w:pPr>
              <w:pStyle w:val="wTableNormal"/>
              <w:jc w:val="center"/>
            </w:pPr>
            <w:r w:rsidRPr="006D389B">
              <w:rPr>
                <w:szCs w:val="22"/>
              </w:rPr>
              <w:t>30</w:t>
            </w:r>
          </w:p>
        </w:tc>
        <w:tc>
          <w:tcPr>
            <w:tcW w:w="2111" w:type="dxa"/>
            <w:tcBorders>
              <w:top w:val="single" w:sz="6" w:space="0" w:color="auto"/>
              <w:left w:val="single" w:sz="6" w:space="0" w:color="auto"/>
              <w:bottom w:val="single" w:sz="6" w:space="0" w:color="auto"/>
              <w:right w:val="single" w:sz="6" w:space="0" w:color="auto"/>
            </w:tcBorders>
            <w:vAlign w:val="center"/>
          </w:tcPr>
          <w:p w14:paraId="47EA5DA0" w14:textId="77777777" w:rsidR="00144DB2" w:rsidRDefault="00144DB2" w:rsidP="006D389B">
            <w:pPr>
              <w:pStyle w:val="wTableNormal"/>
              <w:ind w:right="513"/>
              <w:jc w:val="right"/>
            </w:pPr>
            <w:r w:rsidRPr="00982ABF">
              <w:t>$</w:t>
            </w:r>
            <w:r>
              <w:t>345,681</w:t>
            </w:r>
          </w:p>
        </w:tc>
        <w:tc>
          <w:tcPr>
            <w:tcW w:w="1980" w:type="dxa"/>
            <w:tcBorders>
              <w:top w:val="single" w:sz="6" w:space="0" w:color="auto"/>
              <w:left w:val="single" w:sz="6" w:space="0" w:color="auto"/>
              <w:bottom w:val="single" w:sz="6" w:space="0" w:color="auto"/>
              <w:right w:val="single" w:sz="6" w:space="0" w:color="auto"/>
            </w:tcBorders>
            <w:vAlign w:val="center"/>
          </w:tcPr>
          <w:p w14:paraId="05168E0F" w14:textId="77777777" w:rsidR="00144DB2" w:rsidRDefault="00144DB2" w:rsidP="006D389B">
            <w:pPr>
              <w:pStyle w:val="wTableNormal"/>
              <w:ind w:right="513"/>
              <w:jc w:val="right"/>
            </w:pPr>
            <w:r w:rsidRPr="00982ABF">
              <w:t>$</w:t>
            </w:r>
            <w:r>
              <w:t>262,979</w:t>
            </w:r>
          </w:p>
        </w:tc>
        <w:tc>
          <w:tcPr>
            <w:tcW w:w="1320" w:type="dxa"/>
            <w:tcBorders>
              <w:top w:val="single" w:sz="6" w:space="0" w:color="auto"/>
              <w:left w:val="single" w:sz="6" w:space="0" w:color="auto"/>
              <w:bottom w:val="single" w:sz="6" w:space="0" w:color="auto"/>
              <w:right w:val="single" w:sz="6" w:space="0" w:color="auto"/>
            </w:tcBorders>
            <w:vAlign w:val="center"/>
          </w:tcPr>
          <w:p w14:paraId="4D547B23" w14:textId="77777777" w:rsidR="00144DB2" w:rsidRDefault="00144DB2" w:rsidP="006D389B">
            <w:pPr>
              <w:pStyle w:val="wTableNormal"/>
              <w:ind w:right="213"/>
              <w:jc w:val="right"/>
            </w:pPr>
            <w:r w:rsidRPr="00982ABF">
              <w:t>$</w:t>
            </w:r>
            <w:r>
              <w:t>82,702</w:t>
            </w:r>
          </w:p>
        </w:tc>
        <w:tc>
          <w:tcPr>
            <w:tcW w:w="1416" w:type="dxa"/>
            <w:tcBorders>
              <w:top w:val="single" w:sz="6" w:space="0" w:color="auto"/>
              <w:left w:val="single" w:sz="6" w:space="0" w:color="auto"/>
              <w:bottom w:val="single" w:sz="6" w:space="0" w:color="auto"/>
            </w:tcBorders>
            <w:vAlign w:val="center"/>
          </w:tcPr>
          <w:p w14:paraId="3D04D591" w14:textId="77777777" w:rsidR="00144DB2" w:rsidRPr="006D389B" w:rsidRDefault="00144DB2" w:rsidP="006D389B">
            <w:pPr>
              <w:pStyle w:val="wTableNormal"/>
              <w:ind w:right="369"/>
              <w:jc w:val="right"/>
              <w:rPr>
                <w:szCs w:val="22"/>
              </w:rPr>
            </w:pPr>
            <w:r w:rsidRPr="006D389B">
              <w:rPr>
                <w:szCs w:val="22"/>
              </w:rPr>
              <w:t>31.4%</w:t>
            </w:r>
          </w:p>
        </w:tc>
      </w:tr>
      <w:tr w:rsidR="003A758A" w:rsidRPr="006D389B" w14:paraId="3DC2ADB5" w14:textId="77777777" w:rsidTr="006D389B">
        <w:trPr>
          <w:trHeight w:val="462"/>
          <w:jc w:val="center"/>
        </w:trPr>
        <w:tc>
          <w:tcPr>
            <w:tcW w:w="7795" w:type="dxa"/>
            <w:gridSpan w:val="5"/>
            <w:tcBorders>
              <w:top w:val="single" w:sz="6" w:space="0" w:color="auto"/>
            </w:tcBorders>
          </w:tcPr>
          <w:p w14:paraId="7C4A6AEB" w14:textId="77777777" w:rsidR="003A758A" w:rsidRPr="006D389B" w:rsidRDefault="003A758A" w:rsidP="003A758A">
            <w:pPr>
              <w:pStyle w:val="wTableNormal"/>
              <w:rPr>
                <w:sz w:val="18"/>
                <w:szCs w:val="18"/>
              </w:rPr>
            </w:pPr>
            <w:r w:rsidRPr="006D389B">
              <w:rPr>
                <w:sz w:val="18"/>
                <w:szCs w:val="18"/>
              </w:rPr>
              <w:t>*Account value is shown reduced to reflect income taxes in a 25 percent bracket.</w:t>
            </w:r>
          </w:p>
          <w:p w14:paraId="4DF4A74A" w14:textId="77777777" w:rsidR="003A758A" w:rsidRPr="003A758A" w:rsidRDefault="003A758A" w:rsidP="003A758A">
            <w:pPr>
              <w:pStyle w:val="wTableNormal"/>
            </w:pPr>
            <w:r w:rsidRPr="006D389B">
              <w:rPr>
                <w:sz w:val="18"/>
                <w:szCs w:val="18"/>
              </w:rPr>
              <w:t>‡Taxes due in a 25 percent bracket are assumed paid from the account each year.</w:t>
            </w:r>
          </w:p>
        </w:tc>
      </w:tr>
    </w:tbl>
    <w:p w14:paraId="708EBAD7" w14:textId="77777777" w:rsidR="00671CCF" w:rsidRPr="00671CCF" w:rsidRDefault="00671CCF" w:rsidP="00671CCF">
      <w:r>
        <w:t xml:space="preserve">It is important to bear in mind that the comparison is designed only to illustrate the potential value of tax-deductibility and tax-deferral </w:t>
      </w:r>
      <w:r>
        <w:rPr>
          <w:i/>
        </w:rPr>
        <w:t>under the assumptions made</w:t>
      </w:r>
      <w:r>
        <w:t>. Different assumptions—assumptions concerning the contribution level, interest credited and tax bracket—would change the illustration, possibly significantly.</w:t>
      </w:r>
    </w:p>
    <w:p w14:paraId="2EA2ABE3" w14:textId="77777777" w:rsidR="00E32AAB" w:rsidRPr="00DC4341" w:rsidRDefault="00E32AAB" w:rsidP="00DB46CB">
      <w:pPr>
        <w:pStyle w:val="Heading3"/>
      </w:pPr>
      <w:bookmarkStart w:id="32" w:name="_Toc404357149"/>
      <w:r w:rsidRPr="00DC4341">
        <w:t>Traditional IRA Tax Considerations—</w:t>
      </w:r>
      <w:r w:rsidR="00DC0317">
        <w:t>Rollovers</w:t>
      </w:r>
      <w:bookmarkEnd w:id="32"/>
    </w:p>
    <w:p w14:paraId="31A8FEF4" w14:textId="77777777" w:rsidR="00044329" w:rsidRDefault="00044329" w:rsidP="00825E0B">
      <w:pPr>
        <w:rPr>
          <w:szCs w:val="22"/>
        </w:rPr>
      </w:pPr>
      <w:r>
        <w:rPr>
          <w:szCs w:val="22"/>
        </w:rPr>
        <w:t xml:space="preserve">People frequently change jobs and often find, in so doing, that they </w:t>
      </w:r>
      <w:r w:rsidR="00BC074A">
        <w:rPr>
          <w:szCs w:val="22"/>
        </w:rPr>
        <w:t>will</w:t>
      </w:r>
      <w:r>
        <w:rPr>
          <w:szCs w:val="22"/>
        </w:rPr>
        <w:t xml:space="preserve"> receive an unwanted distribution from the retirement plan maintained by their former employer.</w:t>
      </w:r>
      <w:r w:rsidR="00297ACB">
        <w:rPr>
          <w:szCs w:val="22"/>
        </w:rPr>
        <w:t xml:space="preserve"> </w:t>
      </w:r>
      <w:r>
        <w:rPr>
          <w:szCs w:val="22"/>
        </w:rPr>
        <w:t xml:space="preserve">It is not that they don’t want the money; they usually don’t want the </w:t>
      </w:r>
      <w:r w:rsidR="003F3B31">
        <w:rPr>
          <w:szCs w:val="22"/>
        </w:rPr>
        <w:t xml:space="preserve">income </w:t>
      </w:r>
      <w:r>
        <w:rPr>
          <w:szCs w:val="22"/>
        </w:rPr>
        <w:t>tax liability that results from such a distribution.</w:t>
      </w:r>
      <w:r w:rsidR="00297ACB">
        <w:rPr>
          <w:szCs w:val="22"/>
        </w:rPr>
        <w:t xml:space="preserve"> </w:t>
      </w:r>
      <w:r>
        <w:rPr>
          <w:szCs w:val="22"/>
        </w:rPr>
        <w:t xml:space="preserve">Fortunately, the rules </w:t>
      </w:r>
      <w:r w:rsidR="003F3B31">
        <w:rPr>
          <w:szCs w:val="22"/>
        </w:rPr>
        <w:t xml:space="preserve">generally </w:t>
      </w:r>
      <w:r>
        <w:rPr>
          <w:szCs w:val="22"/>
        </w:rPr>
        <w:t xml:space="preserve">permit the individual to </w:t>
      </w:r>
      <w:r w:rsidR="003F3B31">
        <w:rPr>
          <w:szCs w:val="22"/>
        </w:rPr>
        <w:t>transfer</w:t>
      </w:r>
      <w:r>
        <w:rPr>
          <w:szCs w:val="22"/>
        </w:rPr>
        <w:t xml:space="preserve"> the distributed funds to another plan that will maintain the tax advantages the funds enjoyed in the earlier plan.</w:t>
      </w:r>
    </w:p>
    <w:p w14:paraId="3B49A82A" w14:textId="77777777" w:rsidR="003F3B31" w:rsidRDefault="00044329" w:rsidP="00825E0B">
      <w:pPr>
        <w:rPr>
          <w:szCs w:val="22"/>
        </w:rPr>
      </w:pPr>
      <w:r>
        <w:rPr>
          <w:szCs w:val="22"/>
        </w:rPr>
        <w:t>Similarly, the owner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may </w:t>
      </w:r>
      <w:r w:rsidR="00BC074A">
        <w:rPr>
          <w:szCs w:val="22"/>
        </w:rPr>
        <w:t>choose to transfer his or her existing IRA funds to a new institution.</w:t>
      </w:r>
      <w:r w:rsidR="00297ACB">
        <w:rPr>
          <w:szCs w:val="22"/>
        </w:rPr>
        <w:t xml:space="preserve"> </w:t>
      </w:r>
      <w:r w:rsidR="00BC074A">
        <w:rPr>
          <w:szCs w:val="22"/>
        </w:rPr>
        <w:t>The IRA may be currently invested in a particular mutual fund or other securities, and the owner may decide to move some or all of the funds to an institution providing principal and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BC074A">
        <w:rPr>
          <w:szCs w:val="22"/>
        </w:rPr>
        <w:t xml:space="preserve"> guarantees—or</w:t>
      </w:r>
      <w:r w:rsidR="003F3B31">
        <w:rPr>
          <w:szCs w:val="22"/>
        </w:rPr>
        <w:t xml:space="preserve"> the owner may </w:t>
      </w:r>
      <w:r w:rsidR="00DB650C">
        <w:t>be willing</w:t>
      </w:r>
      <w:r w:rsidR="003F3B31">
        <w:rPr>
          <w:szCs w:val="22"/>
        </w:rPr>
        <w:t xml:space="preserve"> to bear additional risk in the hope of achieving greater returns.</w:t>
      </w:r>
      <w:r w:rsidR="00297ACB">
        <w:rPr>
          <w:szCs w:val="22"/>
        </w:rPr>
        <w:t xml:space="preserve"> </w:t>
      </w:r>
      <w:r w:rsidR="003F3B31">
        <w:rPr>
          <w:szCs w:val="22"/>
        </w:rPr>
        <w:t>In either case, the owner of the traditional IRA usually wants to avoid the need to take a taxable distribution from the IRA in order to implement changes in his or her investment strategy.</w:t>
      </w:r>
      <w:r w:rsidR="00297ACB">
        <w:rPr>
          <w:szCs w:val="22"/>
        </w:rPr>
        <w:t xml:space="preserve"> </w:t>
      </w:r>
      <w:r w:rsidR="003F3B31">
        <w:rPr>
          <w:szCs w:val="22"/>
        </w:rPr>
        <w:t>The device used to maintain the favorable tax treatment of these funds is known as 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3F3B31">
        <w:rPr>
          <w:szCs w:val="22"/>
        </w:rPr>
        <w:t>.</w:t>
      </w:r>
    </w:p>
    <w:p w14:paraId="13C51EB7" w14:textId="77777777" w:rsidR="00DC0317" w:rsidRDefault="00DC0317" w:rsidP="00DC0317">
      <w:pPr>
        <w:pStyle w:val="Heading4"/>
      </w:pPr>
      <w:bookmarkStart w:id="33" w:name="_Toc404357150"/>
      <w:r>
        <w:lastRenderedPageBreak/>
        <w:t>Eligible Rollover Distributions</w:t>
      </w:r>
      <w:bookmarkEnd w:id="33"/>
    </w:p>
    <w:p w14:paraId="0C380297" w14:textId="77777777" w:rsidR="00044329" w:rsidRDefault="003F3B31" w:rsidP="00825E0B">
      <w:pPr>
        <w:rPr>
          <w:szCs w:val="22"/>
        </w:rPr>
      </w:pPr>
      <w:r>
        <w:rPr>
          <w:szCs w:val="22"/>
        </w:rPr>
        <w:t>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is the transfer of a distribution from </w:t>
      </w:r>
      <w:r w:rsidR="002A683B">
        <w:rPr>
          <w:szCs w:val="22"/>
        </w:rPr>
        <w:t>certain specified</w:t>
      </w:r>
      <w:r>
        <w:rPr>
          <w:szCs w:val="22"/>
        </w:rPr>
        <w:t xml:space="preserve"> tax-advantaged plans that follows the rules set out in the Internal Revenue Code and Regulations</w:t>
      </w:r>
      <w:r w:rsidR="00D339E1">
        <w:rPr>
          <w:szCs w:val="22"/>
        </w:rPr>
        <w:t xml:space="preserve"> and which enables the individual to maintain the former plan’s tax advantages</w:t>
      </w:r>
      <w:r w:rsidR="00B212A6">
        <w:rPr>
          <w:szCs w:val="22"/>
        </w:rPr>
        <w:t xml:space="preserve"> with respect to the amount transferred</w:t>
      </w:r>
      <w:r>
        <w:rPr>
          <w:szCs w:val="22"/>
        </w:rPr>
        <w:t>.</w:t>
      </w:r>
      <w:r w:rsidR="00297ACB">
        <w:rPr>
          <w:szCs w:val="22"/>
        </w:rPr>
        <w:t xml:space="preserve"> </w:t>
      </w:r>
      <w:r>
        <w:rPr>
          <w:szCs w:val="22"/>
        </w:rPr>
        <w:t>The distributions that may be rolled over are distributions from:</w:t>
      </w:r>
    </w:p>
    <w:p w14:paraId="5BC7FF7E" w14:textId="77777777" w:rsidR="00C06FCB" w:rsidRDefault="003F3B31" w:rsidP="007A5E54">
      <w:pPr>
        <w:pStyle w:val="ListParagraph"/>
        <w:numPr>
          <w:ilvl w:val="0"/>
          <w:numId w:val="115"/>
        </w:numPr>
        <w:ind w:left="720"/>
      </w:pPr>
      <w:r w:rsidRPr="00671500">
        <w:t>A qualified plan</w:t>
      </w:r>
      <w:r w:rsidR="00DB650C">
        <w:t xml:space="preserve"> (a pension plan, profit-sharing plan, 401(k) plan, etc.)</w:t>
      </w:r>
    </w:p>
    <w:p w14:paraId="22A17E29" w14:textId="77777777" w:rsidR="00C06FCB" w:rsidRDefault="003F3B31" w:rsidP="007A5E54">
      <w:pPr>
        <w:pStyle w:val="ListParagraph"/>
        <w:numPr>
          <w:ilvl w:val="0"/>
          <w:numId w:val="115"/>
        </w:numPr>
        <w:ind w:left="720"/>
      </w:pPr>
      <w:r w:rsidRPr="00671500">
        <w:t>A §403(b) tax-sheltered annuity</w:t>
      </w:r>
    </w:p>
    <w:p w14:paraId="2871A843" w14:textId="77777777" w:rsidR="00C06FCB" w:rsidRDefault="00671500" w:rsidP="007A5E54">
      <w:pPr>
        <w:pStyle w:val="ListParagraph"/>
        <w:numPr>
          <w:ilvl w:val="0"/>
          <w:numId w:val="115"/>
        </w:numPr>
        <w:ind w:left="720"/>
      </w:pPr>
      <w:r w:rsidRPr="00671500">
        <w:t xml:space="preserve">An IRA, </w:t>
      </w:r>
      <w:r w:rsidR="00B66496" w:rsidRPr="00671500">
        <w:t>or</w:t>
      </w:r>
    </w:p>
    <w:p w14:paraId="2B50E31D" w14:textId="77777777" w:rsidR="00C06FCB" w:rsidRDefault="00B66496" w:rsidP="007A5E54">
      <w:pPr>
        <w:pStyle w:val="ListParagraph"/>
        <w:numPr>
          <w:ilvl w:val="0"/>
          <w:numId w:val="115"/>
        </w:numPr>
        <w:ind w:left="720"/>
      </w:pPr>
      <w:r w:rsidRPr="00671500">
        <w:t>An eligible §457 governmental plan</w:t>
      </w:r>
    </w:p>
    <w:p w14:paraId="5925A208" w14:textId="77777777" w:rsidR="00B66496" w:rsidRDefault="00B66496" w:rsidP="00825E0B">
      <w:pPr>
        <w:rPr>
          <w:szCs w:val="22"/>
        </w:rPr>
      </w:pPr>
      <w:r>
        <w:rPr>
          <w:szCs w:val="22"/>
        </w:rPr>
        <w:t xml:space="preserve">Distributions that are rolled over pursuant to these </w:t>
      </w:r>
      <w:r w:rsidR="00DB650C">
        <w:rPr>
          <w:szCs w:val="22"/>
        </w:rPr>
        <w:t xml:space="preserve">IRS </w:t>
      </w:r>
      <w:r>
        <w:rPr>
          <w:szCs w:val="22"/>
        </w:rPr>
        <w:t>rules are not includible in the individual’s gross income—thereby avoiding current income taxation—until they are received at some time in the future.</w:t>
      </w:r>
    </w:p>
    <w:p w14:paraId="13C5E639" w14:textId="77777777" w:rsidR="00863BB8" w:rsidRDefault="00863BB8" w:rsidP="00DC0317">
      <w:pPr>
        <w:spacing w:before="120"/>
        <w:rPr>
          <w:szCs w:val="22"/>
        </w:rPr>
      </w:pPr>
      <w:r>
        <w:rPr>
          <w:szCs w:val="22"/>
        </w:rPr>
        <w:t xml:space="preserve">As we can see, distributions may be rolled over </w:t>
      </w:r>
      <w:r w:rsidRPr="00863BB8">
        <w:rPr>
          <w:i/>
          <w:szCs w:val="22"/>
        </w:rPr>
        <w:t>from</w:t>
      </w:r>
      <w:r>
        <w:rPr>
          <w:szCs w:val="22"/>
        </w:rPr>
        <w:t xml:space="preserve"> several types of plans.</w:t>
      </w:r>
      <w:r w:rsidR="00297ACB">
        <w:rPr>
          <w:szCs w:val="22"/>
        </w:rPr>
        <w:t xml:space="preserve"> </w:t>
      </w:r>
      <w:r>
        <w:rPr>
          <w:szCs w:val="22"/>
        </w:rPr>
        <w:t xml:space="preserve">However, there are some restrictions concerning the types of plans </w:t>
      </w:r>
      <w:r w:rsidRPr="00863BB8">
        <w:rPr>
          <w:i/>
          <w:szCs w:val="22"/>
        </w:rPr>
        <w:t>to which</w:t>
      </w:r>
      <w:r>
        <w:rPr>
          <w:szCs w:val="22"/>
        </w:rPr>
        <w:t xml:space="preserve"> the funds may be transferred.</w:t>
      </w:r>
      <w:r w:rsidR="00297ACB">
        <w:rPr>
          <w:szCs w:val="22"/>
        </w:rPr>
        <w:t xml:space="preserve"> </w:t>
      </w:r>
      <w:r>
        <w:rPr>
          <w:szCs w:val="22"/>
        </w:rPr>
        <w:t>The following table may clarify</w:t>
      </w:r>
      <w:r w:rsidR="00B16EE5">
        <w:rPr>
          <w:szCs w:val="22"/>
        </w:rPr>
        <w:t xml:space="preserve"> those restrictions</w:t>
      </w:r>
      <w:r>
        <w:rPr>
          <w:szCs w:val="22"/>
        </w:rPr>
        <w:t>:</w:t>
      </w:r>
    </w:p>
    <w:tbl>
      <w:tblPr>
        <w:tblW w:w="0" w:type="auto"/>
        <w:tblInd w:w="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90"/>
        <w:gridCol w:w="5888"/>
      </w:tblGrid>
      <w:tr w:rsidR="00863BB8" w:rsidRPr="006D389B" w14:paraId="61A6C3E9" w14:textId="77777777" w:rsidTr="006D389B">
        <w:tc>
          <w:tcPr>
            <w:tcW w:w="289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2A1DDFF7" w14:textId="77777777" w:rsidR="00863BB8" w:rsidRPr="001C63CB" w:rsidRDefault="00863BB8" w:rsidP="00AF2193">
            <w:pPr>
              <w:pStyle w:val="WTableHeaderChar"/>
            </w:pPr>
            <w:r w:rsidRPr="001C63CB">
              <w:t xml:space="preserve">From </w:t>
            </w:r>
            <w:r w:rsidR="00074522">
              <w:t>T</w:t>
            </w:r>
            <w:r w:rsidRPr="001C63CB">
              <w:t xml:space="preserve">hese </w:t>
            </w:r>
            <w:r w:rsidR="00074522">
              <w:t>P</w:t>
            </w:r>
            <w:r w:rsidRPr="001C63CB">
              <w:t>lans. . .</w:t>
            </w:r>
          </w:p>
        </w:tc>
        <w:tc>
          <w:tcPr>
            <w:tcW w:w="5888"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5725D69A" w14:textId="77777777" w:rsidR="00863BB8" w:rsidRPr="001C63CB" w:rsidRDefault="00863BB8" w:rsidP="00AF2193">
            <w:pPr>
              <w:pStyle w:val="WTableHeaderChar"/>
            </w:pPr>
            <w:r w:rsidRPr="001C63CB">
              <w:t xml:space="preserve">To </w:t>
            </w:r>
            <w:r w:rsidR="00074522">
              <w:t>T</w:t>
            </w:r>
            <w:r w:rsidRPr="001C63CB">
              <w:t xml:space="preserve">hese </w:t>
            </w:r>
            <w:r w:rsidR="00074522">
              <w:t>P</w:t>
            </w:r>
            <w:r w:rsidRPr="001C63CB">
              <w:t>lans. . .</w:t>
            </w:r>
          </w:p>
        </w:tc>
      </w:tr>
      <w:tr w:rsidR="00863BB8" w:rsidRPr="006D389B" w14:paraId="4AD6CD22" w14:textId="77777777" w:rsidTr="006D389B">
        <w:tc>
          <w:tcPr>
            <w:tcW w:w="2890" w:type="dxa"/>
            <w:tcBorders>
              <w:bottom w:val="single" w:sz="6" w:space="0" w:color="auto"/>
              <w:right w:val="single" w:sz="6" w:space="0" w:color="auto"/>
            </w:tcBorders>
          </w:tcPr>
          <w:p w14:paraId="55B6A60C" w14:textId="77777777" w:rsidR="00863BB8" w:rsidRPr="006D389B" w:rsidRDefault="00863BB8" w:rsidP="006D389B">
            <w:pPr>
              <w:pStyle w:val="wTableNormal"/>
              <w:spacing w:before="360"/>
              <w:jc w:val="center"/>
              <w:rPr>
                <w:rFonts w:ascii="Times New Roman" w:hAnsi="Times New Roman"/>
                <w:sz w:val="22"/>
                <w:szCs w:val="22"/>
              </w:rPr>
            </w:pPr>
            <w:r w:rsidRPr="006D389B">
              <w:rPr>
                <w:rFonts w:ascii="Times New Roman" w:hAnsi="Times New Roman"/>
                <w:sz w:val="22"/>
                <w:szCs w:val="22"/>
              </w:rPr>
              <w:t>Qualified plan</w:t>
            </w:r>
            <w:r w:rsidR="00CF101A" w:rsidRPr="006D389B">
              <w:rPr>
                <w:rFonts w:ascii="Times New Roman" w:hAnsi="Times New Roman"/>
                <w:sz w:val="22"/>
                <w:szCs w:val="22"/>
              </w:rPr>
              <w:t xml:space="preserve"> </w:t>
            </w:r>
            <w:r w:rsidR="009D3D51" w:rsidRPr="006D389B">
              <w:rPr>
                <w:rFonts w:ascii="Times New Roman" w:hAnsi="Times New Roman"/>
                <w:sz w:val="22"/>
                <w:szCs w:val="22"/>
              </w:rPr>
              <w:br/>
            </w:r>
            <w:r w:rsidR="00CF101A" w:rsidRPr="006D389B">
              <w:rPr>
                <w:rFonts w:ascii="Times New Roman" w:hAnsi="Times New Roman"/>
                <w:sz w:val="22"/>
                <w:szCs w:val="22"/>
              </w:rPr>
              <w:t>(before-tax contributions only)</w:t>
            </w:r>
          </w:p>
        </w:tc>
        <w:tc>
          <w:tcPr>
            <w:tcW w:w="5888" w:type="dxa"/>
            <w:tcBorders>
              <w:left w:val="single" w:sz="6" w:space="0" w:color="auto"/>
              <w:bottom w:val="single" w:sz="6" w:space="0" w:color="auto"/>
            </w:tcBorders>
          </w:tcPr>
          <w:p w14:paraId="5B0D037C" w14:textId="77777777" w:rsidR="00863BB8"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qualified plan</w:t>
            </w:r>
          </w:p>
          <w:p w14:paraId="1D4B7FD2"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§403(b) tax-sheltered annuity</w:t>
            </w:r>
          </w:p>
          <w:p w14:paraId="7473519C"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 xml:space="preserve">A §457 governmental plan (that agrees to separately account for </w:t>
            </w:r>
            <w:r w:rsidR="00341AD2" w:rsidRPr="006D389B">
              <w:rPr>
                <w:rFonts w:ascii="Times New Roman" w:hAnsi="Times New Roman"/>
                <w:sz w:val="22"/>
                <w:szCs w:val="22"/>
              </w:rPr>
              <w:t>eligible retirement</w:t>
            </w:r>
            <w:r w:rsidRPr="006D389B">
              <w:rPr>
                <w:rFonts w:ascii="Times New Roman" w:hAnsi="Times New Roman"/>
                <w:sz w:val="22"/>
                <w:szCs w:val="22"/>
              </w:rPr>
              <w:t xml:space="preserve"> plan funds)</w:t>
            </w:r>
          </w:p>
          <w:p w14:paraId="070EC1F7"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p w14:paraId="5C33D09C" w14:textId="77777777" w:rsidR="00693C06" w:rsidRPr="006D389B" w:rsidRDefault="00693C06" w:rsidP="007A5E54">
            <w:pPr>
              <w:numPr>
                <w:ilvl w:val="0"/>
                <w:numId w:val="18"/>
              </w:numPr>
              <w:rPr>
                <w:szCs w:val="22"/>
              </w:rPr>
            </w:pPr>
            <w:r w:rsidRPr="006D389B">
              <w:rPr>
                <w:szCs w:val="22"/>
              </w:rPr>
              <w:t>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w:t>
            </w:r>
          </w:p>
        </w:tc>
      </w:tr>
      <w:tr w:rsidR="00CF101A" w:rsidRPr="006D389B" w14:paraId="6707CA8F" w14:textId="77777777" w:rsidTr="006D389B">
        <w:tc>
          <w:tcPr>
            <w:tcW w:w="2890" w:type="dxa"/>
            <w:tcBorders>
              <w:top w:val="single" w:sz="6" w:space="0" w:color="auto"/>
              <w:bottom w:val="single" w:sz="6" w:space="0" w:color="auto"/>
              <w:right w:val="single" w:sz="6" w:space="0" w:color="auto"/>
            </w:tcBorders>
            <w:shd w:val="clear" w:color="auto" w:fill="auto"/>
          </w:tcPr>
          <w:p w14:paraId="2D8870BD" w14:textId="77777777" w:rsidR="00CF101A" w:rsidRPr="006D389B" w:rsidRDefault="00CF101A" w:rsidP="006D389B">
            <w:pPr>
              <w:pStyle w:val="wTableNormal"/>
              <w:spacing w:before="240"/>
              <w:jc w:val="center"/>
              <w:rPr>
                <w:rFonts w:ascii="Times New Roman" w:hAnsi="Times New Roman"/>
                <w:sz w:val="22"/>
                <w:szCs w:val="22"/>
              </w:rPr>
            </w:pPr>
            <w:r w:rsidRPr="006D389B">
              <w:rPr>
                <w:rFonts w:ascii="Times New Roman" w:hAnsi="Times New Roman"/>
                <w:sz w:val="22"/>
                <w:szCs w:val="22"/>
              </w:rPr>
              <w:t xml:space="preserve">Qualified plan </w:t>
            </w:r>
            <w:r w:rsidR="009D3D51" w:rsidRPr="006D389B">
              <w:rPr>
                <w:rFonts w:ascii="Times New Roman" w:hAnsi="Times New Roman"/>
                <w:sz w:val="22"/>
                <w:szCs w:val="22"/>
              </w:rPr>
              <w:br/>
            </w:r>
            <w:r w:rsidRPr="006D389B">
              <w:rPr>
                <w:rFonts w:ascii="Times New Roman" w:hAnsi="Times New Roman"/>
                <w:sz w:val="22"/>
                <w:szCs w:val="22"/>
              </w:rPr>
              <w:t>(after-tax contributions)</w:t>
            </w:r>
          </w:p>
        </w:tc>
        <w:tc>
          <w:tcPr>
            <w:tcW w:w="5888" w:type="dxa"/>
            <w:tcBorders>
              <w:top w:val="single" w:sz="6" w:space="0" w:color="auto"/>
              <w:left w:val="single" w:sz="6" w:space="0" w:color="auto"/>
              <w:bottom w:val="single" w:sz="6" w:space="0" w:color="auto"/>
            </w:tcBorders>
            <w:shd w:val="clear" w:color="auto" w:fill="auto"/>
          </w:tcPr>
          <w:p w14:paraId="6659BEE7" w14:textId="77777777" w:rsidR="00CF101A" w:rsidRPr="006D389B" w:rsidRDefault="00CF101A"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defined contribution plan (provided the plan separately accounts for after-tax contributions and transfer is direct trustee-to-trustee</w:t>
            </w:r>
            <w:r w:rsidR="00341AD2" w:rsidRPr="006D389B">
              <w:rPr>
                <w:rFonts w:ascii="Times New Roman" w:hAnsi="Times New Roman"/>
                <w:sz w:val="22"/>
                <w:szCs w:val="22"/>
              </w:rPr>
              <w:t>)</w:t>
            </w:r>
          </w:p>
          <w:p w14:paraId="1BFD7F42" w14:textId="77777777" w:rsidR="00CF101A" w:rsidRPr="006D389B" w:rsidRDefault="00CF101A"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tc>
      </w:tr>
      <w:tr w:rsidR="006D452D" w:rsidRPr="006D389B" w14:paraId="0B92CF98" w14:textId="77777777" w:rsidTr="006D389B">
        <w:tc>
          <w:tcPr>
            <w:tcW w:w="2890" w:type="dxa"/>
            <w:tcBorders>
              <w:top w:val="single" w:sz="6" w:space="0" w:color="auto"/>
              <w:bottom w:val="single" w:sz="6" w:space="0" w:color="auto"/>
              <w:right w:val="single" w:sz="6" w:space="0" w:color="auto"/>
            </w:tcBorders>
          </w:tcPr>
          <w:p w14:paraId="30F2CA02" w14:textId="77777777" w:rsidR="006D452D" w:rsidRPr="006D389B" w:rsidRDefault="006D452D" w:rsidP="006D389B">
            <w:pPr>
              <w:pStyle w:val="wTableNormal"/>
              <w:spacing w:before="240"/>
              <w:jc w:val="center"/>
              <w:rPr>
                <w:rFonts w:ascii="Times New Roman" w:hAnsi="Times New Roman"/>
                <w:sz w:val="22"/>
                <w:szCs w:val="22"/>
              </w:rPr>
            </w:pPr>
            <w:r w:rsidRPr="006D389B">
              <w:rPr>
                <w:rFonts w:ascii="Times New Roman" w:hAnsi="Times New Roman"/>
                <w:sz w:val="22"/>
                <w:szCs w:val="22"/>
              </w:rPr>
              <w:t xml:space="preserve">Eligible §457 </w:t>
            </w:r>
            <w:r w:rsidR="009D3D51" w:rsidRPr="006D389B">
              <w:rPr>
                <w:rFonts w:ascii="Times New Roman" w:hAnsi="Times New Roman"/>
                <w:sz w:val="22"/>
                <w:szCs w:val="22"/>
              </w:rPr>
              <w:br/>
            </w:r>
            <w:r w:rsidRPr="006D389B">
              <w:rPr>
                <w:rFonts w:ascii="Times New Roman" w:hAnsi="Times New Roman"/>
                <w:sz w:val="22"/>
                <w:szCs w:val="22"/>
              </w:rPr>
              <w:t>governmental plan</w:t>
            </w:r>
          </w:p>
        </w:tc>
        <w:tc>
          <w:tcPr>
            <w:tcW w:w="5888" w:type="dxa"/>
            <w:tcBorders>
              <w:top w:val="single" w:sz="6" w:space="0" w:color="auto"/>
              <w:left w:val="single" w:sz="6" w:space="0" w:color="auto"/>
              <w:bottom w:val="single" w:sz="6" w:space="0" w:color="auto"/>
            </w:tcBorders>
          </w:tcPr>
          <w:p w14:paraId="6D3C8471" w14:textId="77777777" w:rsidR="006D452D" w:rsidRPr="006D389B" w:rsidRDefault="006D452D"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qualified plan</w:t>
            </w:r>
          </w:p>
          <w:p w14:paraId="45B1DB76" w14:textId="77777777" w:rsidR="006D452D" w:rsidRPr="006D389B" w:rsidRDefault="006D452D"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§403(b) tax-sheltered annuity</w:t>
            </w:r>
          </w:p>
          <w:p w14:paraId="533D13CF" w14:textId="77777777" w:rsidR="006D452D" w:rsidRPr="006D389B" w:rsidRDefault="006D452D"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§457 governmental plan</w:t>
            </w:r>
          </w:p>
          <w:p w14:paraId="692DD326" w14:textId="77777777" w:rsidR="006D452D" w:rsidRPr="006D389B" w:rsidRDefault="006D452D"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p w14:paraId="1E0A48AD" w14:textId="77777777" w:rsidR="00693C06" w:rsidRPr="006D389B" w:rsidRDefault="00693C06" w:rsidP="007A5E54">
            <w:pPr>
              <w:numPr>
                <w:ilvl w:val="0"/>
                <w:numId w:val="51"/>
              </w:numPr>
              <w:rPr>
                <w:szCs w:val="22"/>
              </w:rPr>
            </w:pPr>
            <w:r w:rsidRPr="006D389B">
              <w:rPr>
                <w:szCs w:val="22"/>
              </w:rPr>
              <w:t>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p>
        </w:tc>
      </w:tr>
      <w:tr w:rsidR="00863BB8" w:rsidRPr="006D389B" w14:paraId="7E3CBEC1" w14:textId="77777777" w:rsidTr="006D389B">
        <w:tc>
          <w:tcPr>
            <w:tcW w:w="2890" w:type="dxa"/>
            <w:tcBorders>
              <w:top w:val="single" w:sz="6" w:space="0" w:color="auto"/>
              <w:bottom w:val="single" w:sz="6" w:space="0" w:color="auto"/>
              <w:right w:val="single" w:sz="6" w:space="0" w:color="auto"/>
            </w:tcBorders>
          </w:tcPr>
          <w:p w14:paraId="1A32BD48" w14:textId="77777777" w:rsidR="00B16EE5" w:rsidRPr="006D389B" w:rsidRDefault="00B16EE5" w:rsidP="006D389B">
            <w:pPr>
              <w:pStyle w:val="wTableNormal"/>
              <w:spacing w:before="360"/>
              <w:jc w:val="center"/>
              <w:rPr>
                <w:rFonts w:ascii="Times New Roman" w:hAnsi="Times New Roman"/>
                <w:sz w:val="22"/>
                <w:szCs w:val="22"/>
              </w:rPr>
            </w:pPr>
            <w:r w:rsidRPr="006D389B">
              <w:rPr>
                <w:rFonts w:ascii="Times New Roman" w:hAnsi="Times New Roman"/>
                <w:sz w:val="22"/>
                <w:szCs w:val="22"/>
              </w:rPr>
              <w:t>§403(b)</w:t>
            </w:r>
            <w:r w:rsidR="007A6E0D" w:rsidRPr="006D389B">
              <w:rPr>
                <w:rFonts w:ascii="Times New Roman" w:hAnsi="Times New Roman"/>
                <w:sz w:val="22"/>
                <w:szCs w:val="22"/>
              </w:rPr>
              <w:br/>
            </w:r>
            <w:r w:rsidRPr="006D389B">
              <w:rPr>
                <w:rFonts w:ascii="Times New Roman" w:hAnsi="Times New Roman"/>
                <w:sz w:val="22"/>
                <w:szCs w:val="22"/>
              </w:rPr>
              <w:t>tax-sheltered annuity</w:t>
            </w:r>
          </w:p>
        </w:tc>
        <w:tc>
          <w:tcPr>
            <w:tcW w:w="5888" w:type="dxa"/>
            <w:tcBorders>
              <w:top w:val="single" w:sz="6" w:space="0" w:color="auto"/>
              <w:left w:val="single" w:sz="6" w:space="0" w:color="auto"/>
              <w:bottom w:val="single" w:sz="6" w:space="0" w:color="auto"/>
            </w:tcBorders>
          </w:tcPr>
          <w:p w14:paraId="27943C70"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qualified plan</w:t>
            </w:r>
          </w:p>
          <w:p w14:paraId="7CDF60E3"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§403(b) tax-sheltered annuity</w:t>
            </w:r>
          </w:p>
          <w:p w14:paraId="2094DA41"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 xml:space="preserve">A §457 governmental plan (that agrees to separately account for </w:t>
            </w:r>
            <w:r w:rsidR="00341AD2" w:rsidRPr="006D389B">
              <w:rPr>
                <w:rFonts w:ascii="Times New Roman" w:hAnsi="Times New Roman"/>
                <w:sz w:val="22"/>
                <w:szCs w:val="22"/>
              </w:rPr>
              <w:t>eligible retirement</w:t>
            </w:r>
            <w:r w:rsidRPr="006D389B">
              <w:rPr>
                <w:rFonts w:ascii="Times New Roman" w:hAnsi="Times New Roman"/>
                <w:sz w:val="22"/>
                <w:szCs w:val="22"/>
              </w:rPr>
              <w:t xml:space="preserve"> plan funds)</w:t>
            </w:r>
          </w:p>
          <w:p w14:paraId="0985B7C6" w14:textId="77777777" w:rsidR="00B16EE5" w:rsidRPr="006D389B" w:rsidRDefault="00B16EE5"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p w14:paraId="69E7D755" w14:textId="77777777" w:rsidR="00693C06" w:rsidRPr="006D389B" w:rsidRDefault="00B91ABC" w:rsidP="007A5E54">
            <w:pPr>
              <w:numPr>
                <w:ilvl w:val="0"/>
                <w:numId w:val="51"/>
              </w:numPr>
              <w:rPr>
                <w:szCs w:val="22"/>
              </w:rPr>
            </w:pPr>
            <w:r w:rsidRPr="006D389B">
              <w:rPr>
                <w:szCs w:val="22"/>
              </w:rPr>
              <w:t>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w:t>
            </w:r>
          </w:p>
        </w:tc>
      </w:tr>
    </w:tbl>
    <w:p w14:paraId="7B6EDB02" w14:textId="77777777" w:rsidR="00B004BE" w:rsidRDefault="00B004BE">
      <w:r>
        <w:rPr>
          <w:b/>
        </w:rPr>
        <w:br w:type="page"/>
      </w:r>
    </w:p>
    <w:tbl>
      <w:tblPr>
        <w:tblW w:w="0" w:type="auto"/>
        <w:tblInd w:w="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90"/>
        <w:gridCol w:w="5888"/>
      </w:tblGrid>
      <w:tr w:rsidR="00C25128" w:rsidRPr="006D389B" w14:paraId="6FB7AFFD" w14:textId="77777777" w:rsidTr="0090773A">
        <w:tc>
          <w:tcPr>
            <w:tcW w:w="2890" w:type="dxa"/>
            <w:tcBorders>
              <w:top w:val="single" w:sz="6" w:space="0" w:color="auto"/>
              <w:bottom w:val="single" w:sz="6" w:space="0" w:color="auto"/>
              <w:right w:val="single" w:sz="6" w:space="0" w:color="auto"/>
            </w:tcBorders>
          </w:tcPr>
          <w:p w14:paraId="66D4E751" w14:textId="77777777" w:rsidR="00C25128" w:rsidRPr="001C63CB" w:rsidRDefault="00C25128" w:rsidP="00586883">
            <w:pPr>
              <w:pStyle w:val="WTableHeaderChar"/>
            </w:pPr>
            <w:r>
              <w:rPr>
                <w:rFonts w:ascii="Times New Roman" w:hAnsi="Times New Roman"/>
              </w:rPr>
              <w:lastRenderedPageBreak/>
              <w:br w:type="page"/>
            </w:r>
            <w:r w:rsidRPr="001C63CB">
              <w:t xml:space="preserve">From </w:t>
            </w:r>
            <w:r>
              <w:t>T</w:t>
            </w:r>
            <w:r w:rsidRPr="001C63CB">
              <w:t xml:space="preserve">hese </w:t>
            </w:r>
            <w:r>
              <w:t>P</w:t>
            </w:r>
            <w:r w:rsidRPr="001C63CB">
              <w:t>lans. . .</w:t>
            </w:r>
          </w:p>
        </w:tc>
        <w:tc>
          <w:tcPr>
            <w:tcW w:w="5888" w:type="dxa"/>
            <w:tcBorders>
              <w:top w:val="single" w:sz="6" w:space="0" w:color="auto"/>
              <w:left w:val="single" w:sz="6" w:space="0" w:color="auto"/>
              <w:bottom w:val="single" w:sz="6" w:space="0" w:color="auto"/>
            </w:tcBorders>
          </w:tcPr>
          <w:p w14:paraId="10BAF78E" w14:textId="77777777" w:rsidR="00C25128" w:rsidRPr="001C63CB" w:rsidRDefault="00C25128" w:rsidP="00586883">
            <w:pPr>
              <w:pStyle w:val="WTableHeaderChar"/>
            </w:pPr>
            <w:r w:rsidRPr="001C63CB">
              <w:t xml:space="preserve">To </w:t>
            </w:r>
            <w:r>
              <w:t>T</w:t>
            </w:r>
            <w:r w:rsidRPr="001C63CB">
              <w:t xml:space="preserve">hese </w:t>
            </w:r>
            <w:r>
              <w:t>P</w:t>
            </w:r>
            <w:r w:rsidRPr="001C63CB">
              <w:t>lans. . .</w:t>
            </w:r>
          </w:p>
        </w:tc>
      </w:tr>
      <w:tr w:rsidR="004E1B01" w:rsidRPr="006D389B" w14:paraId="5EF586B5" w14:textId="77777777" w:rsidTr="006D389B">
        <w:tc>
          <w:tcPr>
            <w:tcW w:w="2890" w:type="dxa"/>
            <w:tcBorders>
              <w:top w:val="single" w:sz="6" w:space="0" w:color="auto"/>
              <w:bottom w:val="single" w:sz="6" w:space="0" w:color="auto"/>
              <w:right w:val="single" w:sz="6" w:space="0" w:color="auto"/>
            </w:tcBorders>
            <w:vAlign w:val="center"/>
          </w:tcPr>
          <w:p w14:paraId="74E77FF5" w14:textId="77777777" w:rsidR="004E1B01" w:rsidRPr="006D389B" w:rsidRDefault="004E1B01" w:rsidP="006D389B">
            <w:pPr>
              <w:pStyle w:val="wTableNormal"/>
              <w:spacing w:before="120" w:after="120"/>
              <w:jc w:val="center"/>
              <w:rPr>
                <w:rFonts w:ascii="Times New Roman" w:hAnsi="Times New Roman"/>
                <w:sz w:val="22"/>
                <w:szCs w:val="22"/>
              </w:rPr>
            </w:pPr>
            <w:r w:rsidRPr="006D389B">
              <w:rPr>
                <w:rFonts w:ascii="Times New Roman" w:hAnsi="Times New Roman"/>
                <w:sz w:val="22"/>
                <w:szCs w:val="22"/>
              </w:rPr>
              <w:t>§403(b)</w:t>
            </w:r>
            <w:r w:rsidRPr="006D389B">
              <w:rPr>
                <w:rFonts w:ascii="Times New Roman" w:hAnsi="Times New Roman"/>
                <w:sz w:val="22"/>
                <w:szCs w:val="22"/>
              </w:rPr>
              <w:br/>
              <w:t xml:space="preserve">tax-sheltered annuity </w:t>
            </w:r>
            <w:r w:rsidRPr="006D389B">
              <w:rPr>
                <w:rFonts w:ascii="Times New Roman" w:hAnsi="Times New Roman"/>
                <w:sz w:val="22"/>
                <w:szCs w:val="22"/>
              </w:rPr>
              <w:br/>
              <w:t>(after-tax contributions)</w:t>
            </w:r>
          </w:p>
        </w:tc>
        <w:tc>
          <w:tcPr>
            <w:tcW w:w="5888" w:type="dxa"/>
            <w:tcBorders>
              <w:top w:val="single" w:sz="6" w:space="0" w:color="auto"/>
              <w:left w:val="single" w:sz="6" w:space="0" w:color="auto"/>
              <w:bottom w:val="single" w:sz="6" w:space="0" w:color="auto"/>
            </w:tcBorders>
            <w:vAlign w:val="center"/>
          </w:tcPr>
          <w:p w14:paraId="7024CE5D" w14:textId="77777777" w:rsidR="004E1B01" w:rsidRPr="006D389B" w:rsidRDefault="004E1B01" w:rsidP="007A5E54">
            <w:pPr>
              <w:pStyle w:val="wTableNormal"/>
              <w:numPr>
                <w:ilvl w:val="0"/>
                <w:numId w:val="52"/>
              </w:numPr>
              <w:ind w:left="742" w:hanging="440"/>
              <w:rPr>
                <w:rFonts w:ascii="Times New Roman" w:hAnsi="Times New Roman"/>
                <w:sz w:val="22"/>
                <w:szCs w:val="22"/>
              </w:rPr>
            </w:pPr>
            <w:r w:rsidRPr="006D389B">
              <w:rPr>
                <w:rFonts w:ascii="Times New Roman" w:hAnsi="Times New Roman"/>
                <w:sz w:val="22"/>
                <w:szCs w:val="22"/>
              </w:rPr>
              <w:t>A defined contribution plan (provided the plan separately accounts for after-tax contributions and transfer is direct trustee-to-trustee)</w:t>
            </w:r>
          </w:p>
          <w:p w14:paraId="4F0DC96F" w14:textId="77777777" w:rsidR="004E1B01" w:rsidRPr="006D389B" w:rsidRDefault="004E1B01" w:rsidP="007A5E54">
            <w:pPr>
              <w:pStyle w:val="wTableNormal"/>
              <w:numPr>
                <w:ilvl w:val="0"/>
                <w:numId w:val="52"/>
              </w:numPr>
              <w:ind w:left="742" w:hanging="440"/>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tc>
      </w:tr>
      <w:tr w:rsidR="004E1B01" w:rsidRPr="006D389B" w14:paraId="0278E94C" w14:textId="77777777" w:rsidTr="006D389B">
        <w:tc>
          <w:tcPr>
            <w:tcW w:w="2890" w:type="dxa"/>
            <w:tcBorders>
              <w:top w:val="single" w:sz="6" w:space="0" w:color="auto"/>
              <w:bottom w:val="single" w:sz="6" w:space="0" w:color="auto"/>
              <w:right w:val="single" w:sz="6" w:space="0" w:color="auto"/>
            </w:tcBorders>
            <w:vAlign w:val="center"/>
          </w:tcPr>
          <w:p w14:paraId="0C3DB05D" w14:textId="77777777" w:rsidR="004E1B01" w:rsidRPr="006D389B" w:rsidRDefault="004E1B01" w:rsidP="006D389B">
            <w:pPr>
              <w:pStyle w:val="wTableNormal"/>
              <w:spacing w:before="120" w:after="120"/>
              <w:jc w:val="center"/>
              <w:rPr>
                <w:rFonts w:ascii="Times New Roman" w:hAnsi="Times New Roman"/>
                <w:sz w:val="22"/>
                <w:szCs w:val="22"/>
              </w:rPr>
            </w:pPr>
            <w:r w:rsidRPr="006D389B">
              <w:rPr>
                <w:rFonts w:ascii="Times New Roman" w:hAnsi="Times New Roman"/>
                <w:sz w:val="22"/>
                <w:szCs w:val="22"/>
              </w:rPr>
              <w:t>§403(b)</w:t>
            </w:r>
            <w:r w:rsidRPr="006D389B">
              <w:rPr>
                <w:rFonts w:ascii="Times New Roman" w:hAnsi="Times New Roman"/>
                <w:sz w:val="22"/>
                <w:szCs w:val="22"/>
              </w:rPr>
              <w:br/>
              <w:t>tax-sheltered annuity (designated Roth accounts)</w:t>
            </w:r>
          </w:p>
        </w:tc>
        <w:tc>
          <w:tcPr>
            <w:tcW w:w="5888" w:type="dxa"/>
            <w:tcBorders>
              <w:top w:val="single" w:sz="6" w:space="0" w:color="auto"/>
              <w:left w:val="single" w:sz="6" w:space="0" w:color="auto"/>
              <w:bottom w:val="single" w:sz="6" w:space="0" w:color="auto"/>
            </w:tcBorders>
            <w:vAlign w:val="center"/>
          </w:tcPr>
          <w:p w14:paraId="35A394C3" w14:textId="77777777" w:rsidR="004E1B01" w:rsidRPr="006D389B" w:rsidRDefault="004E1B01" w:rsidP="007A5E54">
            <w:pPr>
              <w:pStyle w:val="wTableNormal"/>
              <w:numPr>
                <w:ilvl w:val="0"/>
                <w:numId w:val="53"/>
              </w:numPr>
              <w:ind w:left="742" w:hanging="440"/>
              <w:rPr>
                <w:rFonts w:ascii="Times New Roman" w:hAnsi="Times New Roman"/>
                <w:sz w:val="22"/>
                <w:szCs w:val="22"/>
              </w:rPr>
            </w:pPr>
            <w:r w:rsidRPr="006D389B">
              <w:rPr>
                <w:rFonts w:ascii="Times New Roman" w:hAnsi="Times New Roman"/>
                <w:sz w:val="22"/>
                <w:szCs w:val="22"/>
              </w:rPr>
              <w:t>Another 403(b) plan that accepts Roth rollovers</w:t>
            </w:r>
          </w:p>
          <w:p w14:paraId="5F8EC06C" w14:textId="77777777" w:rsidR="004E1B01" w:rsidRPr="006D389B" w:rsidRDefault="004E1B01" w:rsidP="007A5E54">
            <w:pPr>
              <w:pStyle w:val="wTableNormal"/>
              <w:numPr>
                <w:ilvl w:val="0"/>
                <w:numId w:val="51"/>
              </w:numPr>
              <w:ind w:left="742" w:hanging="440"/>
              <w:rPr>
                <w:rFonts w:ascii="Times New Roman" w:hAnsi="Times New Roman"/>
                <w:sz w:val="22"/>
                <w:szCs w:val="22"/>
              </w:rPr>
            </w:pPr>
            <w:r w:rsidRPr="006D389B">
              <w:rPr>
                <w:rFonts w:ascii="Times New Roman" w:hAnsi="Times New Roman"/>
                <w:sz w:val="22"/>
                <w:szCs w:val="22"/>
              </w:rPr>
              <w:t>A Roth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rFonts w:ascii="Times New Roman" w:hAnsi="Times New Roman"/>
                <w:sz w:val="22"/>
                <w:szCs w:val="22"/>
              </w:rPr>
              <w:fldChar w:fldCharType="end"/>
            </w:r>
          </w:p>
        </w:tc>
      </w:tr>
      <w:tr w:rsidR="00BF7E18" w:rsidRPr="006D389B" w14:paraId="593C0BC4" w14:textId="77777777" w:rsidTr="006D389B">
        <w:trPr>
          <w:trHeight w:val="171"/>
        </w:trPr>
        <w:tc>
          <w:tcPr>
            <w:tcW w:w="2890" w:type="dxa"/>
            <w:tcBorders>
              <w:top w:val="single" w:sz="6" w:space="0" w:color="auto"/>
              <w:bottom w:val="single" w:sz="6" w:space="0" w:color="auto"/>
              <w:right w:val="single" w:sz="6" w:space="0" w:color="auto"/>
            </w:tcBorders>
          </w:tcPr>
          <w:p w14:paraId="739AB7F6" w14:textId="77777777" w:rsidR="00BF7E18" w:rsidRPr="006D389B" w:rsidRDefault="00BF7E18" w:rsidP="006D389B">
            <w:pPr>
              <w:pStyle w:val="wTableNormal"/>
              <w:spacing w:before="360"/>
              <w:jc w:val="center"/>
              <w:rPr>
                <w:rFonts w:ascii="Times New Roman" w:hAnsi="Times New Roman"/>
                <w:sz w:val="22"/>
                <w:szCs w:val="22"/>
              </w:rPr>
            </w:pPr>
            <w:r w:rsidRPr="006D389B">
              <w:rPr>
                <w:rFonts w:ascii="Times New Roman" w:hAnsi="Times New Roman"/>
                <w:sz w:val="22"/>
                <w:szCs w:val="22"/>
              </w:rPr>
              <w:t xml:space="preserve">Traditional IRA </w:t>
            </w:r>
            <w:r w:rsidRPr="006D389B">
              <w:rPr>
                <w:rFonts w:ascii="Times New Roman" w:hAnsi="Times New Roman"/>
                <w:sz w:val="22"/>
                <w:szCs w:val="22"/>
              </w:rPr>
              <w:br/>
              <w:t>(deductible contributions only)</w:t>
            </w:r>
          </w:p>
        </w:tc>
        <w:tc>
          <w:tcPr>
            <w:tcW w:w="5888" w:type="dxa"/>
            <w:tcBorders>
              <w:top w:val="single" w:sz="6" w:space="0" w:color="auto"/>
              <w:left w:val="single" w:sz="6" w:space="0" w:color="auto"/>
              <w:bottom w:val="single" w:sz="6" w:space="0" w:color="auto"/>
            </w:tcBorders>
          </w:tcPr>
          <w:p w14:paraId="119050C8"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qualified plan</w:t>
            </w:r>
          </w:p>
          <w:p w14:paraId="6877CF29"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§403(b) tax-sheltered annuity</w:t>
            </w:r>
          </w:p>
          <w:p w14:paraId="5753552C"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§457 governmental plan (that agrees to separately account for eligible retirement plan funds)</w:t>
            </w:r>
          </w:p>
          <w:p w14:paraId="32F76DCC"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tc>
      </w:tr>
      <w:tr w:rsidR="00BF7E18" w:rsidRPr="006D389B" w14:paraId="1CA0AECD" w14:textId="77777777" w:rsidTr="006D389B">
        <w:trPr>
          <w:trHeight w:val="710"/>
        </w:trPr>
        <w:tc>
          <w:tcPr>
            <w:tcW w:w="2890" w:type="dxa"/>
            <w:tcBorders>
              <w:top w:val="single" w:sz="6" w:space="0" w:color="auto"/>
              <w:bottom w:val="single" w:sz="6" w:space="0" w:color="auto"/>
              <w:right w:val="single" w:sz="6" w:space="0" w:color="auto"/>
            </w:tcBorders>
          </w:tcPr>
          <w:p w14:paraId="6F9C442E" w14:textId="77777777" w:rsidR="00BF7E18" w:rsidRPr="006D389B" w:rsidRDefault="00BF7E18" w:rsidP="006D389B">
            <w:pPr>
              <w:pStyle w:val="wTableNormal"/>
              <w:spacing w:before="120"/>
              <w:jc w:val="center"/>
              <w:rPr>
                <w:rFonts w:ascii="Times New Roman" w:hAnsi="Times New Roman"/>
                <w:sz w:val="22"/>
                <w:szCs w:val="22"/>
              </w:rPr>
            </w:pPr>
            <w:r w:rsidRPr="006D389B">
              <w:rPr>
                <w:rFonts w:ascii="Times New Roman" w:hAnsi="Times New Roman"/>
                <w:sz w:val="22"/>
                <w:szCs w:val="22"/>
              </w:rPr>
              <w:t xml:space="preserve">Traditional IRA </w:t>
            </w:r>
            <w:r w:rsidRPr="006D389B">
              <w:rPr>
                <w:rFonts w:ascii="Times New Roman" w:hAnsi="Times New Roman"/>
                <w:sz w:val="22"/>
                <w:szCs w:val="22"/>
              </w:rPr>
              <w:br/>
              <w:t>(non-deductible contributions)</w:t>
            </w:r>
          </w:p>
        </w:tc>
        <w:tc>
          <w:tcPr>
            <w:tcW w:w="5888" w:type="dxa"/>
            <w:tcBorders>
              <w:top w:val="single" w:sz="6" w:space="0" w:color="auto"/>
              <w:left w:val="single" w:sz="6" w:space="0" w:color="auto"/>
              <w:bottom w:val="single" w:sz="6" w:space="0" w:color="auto"/>
            </w:tcBorders>
          </w:tcPr>
          <w:p w14:paraId="58F07AB7"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tc>
      </w:tr>
      <w:tr w:rsidR="00BF7E18" w:rsidRPr="006D389B" w14:paraId="1D544209" w14:textId="77777777" w:rsidTr="006D389B">
        <w:tc>
          <w:tcPr>
            <w:tcW w:w="2890" w:type="dxa"/>
            <w:tcBorders>
              <w:top w:val="single" w:sz="6" w:space="0" w:color="auto"/>
              <w:bottom w:val="single" w:sz="6" w:space="0" w:color="auto"/>
              <w:right w:val="single" w:sz="6" w:space="0" w:color="auto"/>
            </w:tcBorders>
          </w:tcPr>
          <w:p w14:paraId="5B5EACA9" w14:textId="77777777" w:rsidR="00BF7E18" w:rsidRPr="006D389B" w:rsidRDefault="00BF7E18" w:rsidP="006D389B">
            <w:pPr>
              <w:pStyle w:val="wTableNormal"/>
              <w:jc w:val="center"/>
              <w:rPr>
                <w:rFonts w:ascii="Times New Roman" w:hAnsi="Times New Roman"/>
                <w:sz w:val="22"/>
                <w:szCs w:val="22"/>
              </w:rPr>
            </w:pPr>
            <w:r w:rsidRPr="006D389B">
              <w:rPr>
                <w:rFonts w:ascii="Times New Roman" w:hAnsi="Times New Roman"/>
                <w:sz w:val="22"/>
                <w:szCs w:val="22"/>
              </w:rPr>
              <w:t xml:space="preserve">SIMPLE IRA </w:t>
            </w:r>
            <w:r w:rsidRPr="006D389B">
              <w:rPr>
                <w:rFonts w:ascii="Times New Roman" w:hAnsi="Times New Roman"/>
                <w:sz w:val="22"/>
                <w:szCs w:val="22"/>
              </w:rPr>
              <w:br/>
              <w:t>(during 1</w:t>
            </w:r>
            <w:r w:rsidRPr="006D389B">
              <w:rPr>
                <w:rFonts w:ascii="Times New Roman" w:hAnsi="Times New Roman"/>
                <w:sz w:val="22"/>
                <w:szCs w:val="22"/>
                <w:vertAlign w:val="superscript"/>
              </w:rPr>
              <w:t>st</w:t>
            </w:r>
            <w:r w:rsidRPr="006D389B">
              <w:rPr>
                <w:rFonts w:ascii="Times New Roman" w:hAnsi="Times New Roman"/>
                <w:sz w:val="22"/>
                <w:szCs w:val="22"/>
              </w:rPr>
              <w:t xml:space="preserve"> 2 years of participation)</w:t>
            </w:r>
          </w:p>
        </w:tc>
        <w:tc>
          <w:tcPr>
            <w:tcW w:w="5888" w:type="dxa"/>
            <w:tcBorders>
              <w:top w:val="single" w:sz="6" w:space="0" w:color="auto"/>
              <w:left w:val="single" w:sz="6" w:space="0" w:color="auto"/>
              <w:bottom w:val="single" w:sz="6" w:space="0" w:color="auto"/>
            </w:tcBorders>
          </w:tcPr>
          <w:p w14:paraId="5A12C674"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SIMPLE IRA only</w:t>
            </w:r>
          </w:p>
        </w:tc>
      </w:tr>
      <w:tr w:rsidR="00BF7E18" w:rsidRPr="006D389B" w14:paraId="5EF1EB36" w14:textId="77777777" w:rsidTr="006D389B">
        <w:tc>
          <w:tcPr>
            <w:tcW w:w="2890" w:type="dxa"/>
            <w:tcBorders>
              <w:top w:val="single" w:sz="6" w:space="0" w:color="auto"/>
              <w:bottom w:val="single" w:sz="6" w:space="0" w:color="auto"/>
              <w:right w:val="single" w:sz="6" w:space="0" w:color="auto"/>
            </w:tcBorders>
          </w:tcPr>
          <w:p w14:paraId="44760A58" w14:textId="77777777" w:rsidR="00BF7E18" w:rsidRPr="006D389B" w:rsidRDefault="00BF7E18" w:rsidP="006D389B">
            <w:pPr>
              <w:pStyle w:val="wTableNormal"/>
              <w:jc w:val="center"/>
              <w:rPr>
                <w:rFonts w:ascii="Times New Roman" w:hAnsi="Times New Roman"/>
                <w:sz w:val="22"/>
                <w:szCs w:val="22"/>
              </w:rPr>
            </w:pPr>
            <w:r w:rsidRPr="006D389B">
              <w:rPr>
                <w:rFonts w:ascii="Times New Roman" w:hAnsi="Times New Roman"/>
                <w:sz w:val="22"/>
                <w:szCs w:val="22"/>
              </w:rPr>
              <w:t xml:space="preserve">SIMPLE IRA </w:t>
            </w:r>
            <w:r w:rsidRPr="006D389B">
              <w:rPr>
                <w:rFonts w:ascii="Times New Roman" w:hAnsi="Times New Roman"/>
                <w:sz w:val="22"/>
                <w:szCs w:val="22"/>
              </w:rPr>
              <w:br/>
              <w:t>(after 1</w:t>
            </w:r>
            <w:r w:rsidRPr="006D389B">
              <w:rPr>
                <w:rFonts w:ascii="Times New Roman" w:hAnsi="Times New Roman"/>
                <w:sz w:val="22"/>
                <w:szCs w:val="22"/>
                <w:vertAlign w:val="superscript"/>
              </w:rPr>
              <w:t>st</w:t>
            </w:r>
            <w:r w:rsidRPr="006D389B">
              <w:rPr>
                <w:rFonts w:ascii="Times New Roman" w:hAnsi="Times New Roman"/>
                <w:sz w:val="22"/>
                <w:szCs w:val="22"/>
              </w:rPr>
              <w:t xml:space="preserve"> 2 years of participation)</w:t>
            </w:r>
          </w:p>
        </w:tc>
        <w:tc>
          <w:tcPr>
            <w:tcW w:w="5888" w:type="dxa"/>
            <w:tcBorders>
              <w:top w:val="single" w:sz="6" w:space="0" w:color="auto"/>
              <w:left w:val="single" w:sz="6" w:space="0" w:color="auto"/>
              <w:bottom w:val="single" w:sz="6" w:space="0" w:color="auto"/>
            </w:tcBorders>
          </w:tcPr>
          <w:p w14:paraId="7F7798D9"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SIMPLE IRA</w:t>
            </w:r>
          </w:p>
          <w:p w14:paraId="2A2FB698"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 traditional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rFonts w:ascii="Times New Roman" w:hAnsi="Times New Roman"/>
                <w:sz w:val="22"/>
                <w:szCs w:val="22"/>
              </w:rPr>
              <w:fldChar w:fldCharType="end"/>
            </w:r>
          </w:p>
          <w:p w14:paraId="037C9F24" w14:textId="77777777" w:rsidR="00B91ABC" w:rsidRPr="006D389B" w:rsidRDefault="00B91ABC" w:rsidP="007A5E54">
            <w:pPr>
              <w:numPr>
                <w:ilvl w:val="0"/>
                <w:numId w:val="51"/>
              </w:numPr>
              <w:rPr>
                <w:szCs w:val="22"/>
              </w:rPr>
            </w:pPr>
            <w:r w:rsidRPr="006D389B">
              <w:rPr>
                <w:szCs w:val="22"/>
              </w:rPr>
              <w:t>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w:t>
            </w:r>
          </w:p>
        </w:tc>
      </w:tr>
      <w:tr w:rsidR="00BF7E18" w:rsidRPr="006D389B" w14:paraId="73C4EFC0" w14:textId="77777777" w:rsidTr="006D389B">
        <w:tc>
          <w:tcPr>
            <w:tcW w:w="2890" w:type="dxa"/>
            <w:tcBorders>
              <w:top w:val="single" w:sz="6" w:space="0" w:color="auto"/>
              <w:right w:val="single" w:sz="6" w:space="0" w:color="auto"/>
            </w:tcBorders>
          </w:tcPr>
          <w:p w14:paraId="01D96D3C" w14:textId="77777777" w:rsidR="00BF7E18" w:rsidRPr="006D389B" w:rsidRDefault="00BF7E18" w:rsidP="006D389B">
            <w:pPr>
              <w:pStyle w:val="wTableNormal"/>
              <w:jc w:val="center"/>
              <w:rPr>
                <w:rFonts w:ascii="Times New Roman" w:hAnsi="Times New Roman"/>
                <w:sz w:val="22"/>
                <w:szCs w:val="22"/>
              </w:rPr>
            </w:pPr>
            <w:r w:rsidRPr="006D389B">
              <w:rPr>
                <w:rFonts w:ascii="Times New Roman" w:hAnsi="Times New Roman"/>
                <w:sz w:val="22"/>
                <w:szCs w:val="22"/>
              </w:rPr>
              <w:t>Roth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rFonts w:ascii="Times New Roman" w:hAnsi="Times New Roman"/>
                <w:sz w:val="22"/>
                <w:szCs w:val="22"/>
              </w:rPr>
              <w:fldChar w:fldCharType="end"/>
            </w:r>
          </w:p>
        </w:tc>
        <w:tc>
          <w:tcPr>
            <w:tcW w:w="5888" w:type="dxa"/>
            <w:tcBorders>
              <w:top w:val="single" w:sz="6" w:space="0" w:color="auto"/>
              <w:left w:val="single" w:sz="6" w:space="0" w:color="auto"/>
            </w:tcBorders>
          </w:tcPr>
          <w:p w14:paraId="0D403885" w14:textId="77777777" w:rsidR="00BF7E18" w:rsidRPr="006D389B" w:rsidRDefault="00BF7E18" w:rsidP="007A5E54">
            <w:pPr>
              <w:pStyle w:val="wTableNormal"/>
              <w:numPr>
                <w:ilvl w:val="0"/>
                <w:numId w:val="18"/>
              </w:numPr>
              <w:rPr>
                <w:rFonts w:ascii="Times New Roman" w:hAnsi="Times New Roman"/>
                <w:sz w:val="22"/>
                <w:szCs w:val="22"/>
              </w:rPr>
            </w:pPr>
            <w:r w:rsidRPr="006D389B">
              <w:rPr>
                <w:rFonts w:ascii="Times New Roman" w:hAnsi="Times New Roman"/>
                <w:sz w:val="22"/>
                <w:szCs w:val="22"/>
              </w:rPr>
              <w:t>Another Roth IRA</w:t>
            </w:r>
            <w:r w:rsidR="00A95039" w:rsidRPr="006D389B">
              <w:rPr>
                <w:rFonts w:ascii="Times New Roman" w:hAnsi="Times New Roman"/>
                <w:sz w:val="22"/>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rFonts w:ascii="Times New Roman" w:hAnsi="Times New Roman"/>
                <w:sz w:val="22"/>
                <w:szCs w:val="22"/>
              </w:rPr>
              <w:fldChar w:fldCharType="end"/>
            </w:r>
            <w:r w:rsidRPr="006D389B">
              <w:rPr>
                <w:rFonts w:ascii="Times New Roman" w:hAnsi="Times New Roman"/>
                <w:sz w:val="22"/>
                <w:szCs w:val="22"/>
              </w:rPr>
              <w:t xml:space="preserve"> </w:t>
            </w:r>
          </w:p>
        </w:tc>
      </w:tr>
    </w:tbl>
    <w:p w14:paraId="652E9ABD" w14:textId="77777777" w:rsidR="006D452D" w:rsidRDefault="008B2E86" w:rsidP="00905012">
      <w:pPr>
        <w:spacing w:before="120"/>
        <w:rPr>
          <w:szCs w:val="22"/>
        </w:rPr>
      </w:pPr>
      <w:r w:rsidRPr="000B485C">
        <w:rPr>
          <w:szCs w:val="22"/>
        </w:rPr>
        <w:t xml:space="preserve">By following the rules that are set out in the Code and Regulations, </w:t>
      </w:r>
      <w:r>
        <w:rPr>
          <w:szCs w:val="22"/>
        </w:rPr>
        <w:t>an individual</w:t>
      </w:r>
      <w:r w:rsidRPr="000B485C">
        <w:rPr>
          <w:szCs w:val="22"/>
        </w:rPr>
        <w:t xml:space="preserve"> can roll</w:t>
      </w:r>
      <w:r>
        <w:rPr>
          <w:szCs w:val="22"/>
        </w:rPr>
        <w:t xml:space="preserve"> </w:t>
      </w:r>
      <w:r w:rsidRPr="000B485C">
        <w:rPr>
          <w:szCs w:val="22"/>
        </w:rPr>
        <w:t>over a</w:t>
      </w:r>
      <w:r w:rsidR="006D452D">
        <w:rPr>
          <w:szCs w:val="22"/>
        </w:rPr>
        <w:t xml:space="preserve">n </w:t>
      </w:r>
      <w:r w:rsidR="006D452D" w:rsidRPr="006D452D">
        <w:rPr>
          <w:i/>
          <w:szCs w:val="22"/>
        </w:rPr>
        <w:t>eligible rollover</w:t>
      </w:r>
      <w:r w:rsidR="00A95039">
        <w:rPr>
          <w:i/>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i/>
          <w:szCs w:val="22"/>
        </w:rPr>
        <w:fldChar w:fldCharType="end"/>
      </w:r>
      <w:r w:rsidRPr="006D452D">
        <w:rPr>
          <w:i/>
          <w:szCs w:val="22"/>
        </w:rPr>
        <w:t xml:space="preserve"> distribution</w:t>
      </w:r>
      <w:r w:rsidRPr="000B485C">
        <w:rPr>
          <w:szCs w:val="22"/>
        </w:rPr>
        <w:t xml:space="preserve"> from a qualified plan, a </w:t>
      </w:r>
      <w:r w:rsidR="006D452D">
        <w:rPr>
          <w:szCs w:val="22"/>
        </w:rPr>
        <w:t xml:space="preserve">§403(b) </w:t>
      </w:r>
      <w:r w:rsidRPr="000B485C">
        <w:rPr>
          <w:szCs w:val="22"/>
        </w:rPr>
        <w:t>tax sheltered annuity</w:t>
      </w:r>
      <w:r w:rsidR="006D452D">
        <w:rPr>
          <w:szCs w:val="22"/>
        </w:rPr>
        <w:t>, a §457 governmental plan, a SIMPLE IRA or a</w:t>
      </w:r>
      <w:r w:rsidR="00905012">
        <w:rPr>
          <w:szCs w:val="22"/>
        </w:rPr>
        <w:t>n</w:t>
      </w:r>
      <w:r w:rsidR="006D452D">
        <w:rPr>
          <w:szCs w:val="22"/>
        </w:rPr>
        <w:t xml:space="preserve"> IRA</w:t>
      </w:r>
      <w:r w:rsidRPr="000B485C">
        <w:rPr>
          <w:szCs w:val="22"/>
        </w:rPr>
        <w:t xml:space="preserve"> and continue to avoid paying current</w:t>
      </w:r>
      <w:r w:rsidR="006D452D">
        <w:rPr>
          <w:szCs w:val="22"/>
        </w:rPr>
        <w:t xml:space="preserve"> income</w:t>
      </w:r>
      <w:r w:rsidRPr="000B485C">
        <w:rPr>
          <w:szCs w:val="22"/>
        </w:rPr>
        <w:t xml:space="preserve"> taxes on the amount rolled over.</w:t>
      </w:r>
      <w:r w:rsidR="00297ACB">
        <w:rPr>
          <w:szCs w:val="22"/>
        </w:rPr>
        <w:t xml:space="preserve"> </w:t>
      </w:r>
      <w:r w:rsidR="006D452D">
        <w:rPr>
          <w:szCs w:val="22"/>
        </w:rPr>
        <w:t xml:space="preserve">Not every distribution, however, qualifies as an </w:t>
      </w:r>
      <w:r w:rsidR="006D452D">
        <w:rPr>
          <w:i/>
          <w:szCs w:val="22"/>
        </w:rPr>
        <w:t>eligible rollover distribution</w:t>
      </w:r>
      <w:r w:rsidR="006D452D">
        <w:rPr>
          <w:szCs w:val="22"/>
        </w:rPr>
        <w:t>.</w:t>
      </w:r>
    </w:p>
    <w:p w14:paraId="47F33B45" w14:textId="77777777" w:rsidR="00DC0317" w:rsidRDefault="00DC0317" w:rsidP="00DC0317">
      <w:pPr>
        <w:pStyle w:val="Heading4"/>
      </w:pPr>
      <w:bookmarkStart w:id="34" w:name="_Toc404357151"/>
      <w:r>
        <w:t>Distributions Ineligible for Rollover</w:t>
      </w:r>
      <w:bookmarkEnd w:id="34"/>
    </w:p>
    <w:p w14:paraId="5935B482" w14:textId="77777777" w:rsidR="00ED5B85" w:rsidRDefault="006D452D" w:rsidP="00825E0B">
      <w:pPr>
        <w:rPr>
          <w:szCs w:val="22"/>
        </w:rPr>
      </w:pPr>
      <w:r>
        <w:rPr>
          <w:szCs w:val="22"/>
        </w:rPr>
        <w:t>An eligible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distribution is any distribution made to an employee </w:t>
      </w:r>
      <w:r w:rsidR="00ED5B85">
        <w:rPr>
          <w:szCs w:val="22"/>
        </w:rPr>
        <w:t>of the funds to his or her credit in a qualified trust</w:t>
      </w:r>
      <w:r w:rsidR="008B2E86" w:rsidRPr="000B485C">
        <w:rPr>
          <w:szCs w:val="22"/>
        </w:rPr>
        <w:t xml:space="preserve"> </w:t>
      </w:r>
      <w:r w:rsidR="00ED5B85">
        <w:rPr>
          <w:szCs w:val="22"/>
        </w:rPr>
        <w:t>EXCEPT for a distribution that is:</w:t>
      </w:r>
    </w:p>
    <w:p w14:paraId="7C5AD563" w14:textId="77777777" w:rsidR="008B2E86" w:rsidRPr="00AF2193" w:rsidRDefault="00C06FCB" w:rsidP="007A5E54">
      <w:pPr>
        <w:pStyle w:val="ListParagraph"/>
        <w:numPr>
          <w:ilvl w:val="0"/>
          <w:numId w:val="51"/>
        </w:numPr>
      </w:pPr>
      <w:r w:rsidRPr="00AF2193">
        <w:t>Part of a series</w:t>
      </w:r>
      <w:r w:rsidR="00ED5B85" w:rsidRPr="00AF2193">
        <w:t xml:space="preserve"> of substantially equal payments made over the employee’s life expectancy</w:t>
      </w:r>
      <w:r>
        <w:t>;</w:t>
      </w:r>
    </w:p>
    <w:p w14:paraId="43B921F6" w14:textId="77777777" w:rsidR="00ED5B85" w:rsidRPr="00AF2193" w:rsidRDefault="00C06FCB" w:rsidP="007A5E54">
      <w:pPr>
        <w:pStyle w:val="ListParagraph"/>
        <w:numPr>
          <w:ilvl w:val="0"/>
          <w:numId w:val="51"/>
        </w:numPr>
      </w:pPr>
      <w:r w:rsidRPr="00AF2193">
        <w:t>Made for a specified period of 10 years or more</w:t>
      </w:r>
      <w:r>
        <w:t>;</w:t>
      </w:r>
    </w:p>
    <w:p w14:paraId="3058C2E5" w14:textId="77777777" w:rsidR="00ED5B85" w:rsidRPr="00AF2193" w:rsidRDefault="00C06FCB" w:rsidP="007A5E54">
      <w:pPr>
        <w:pStyle w:val="ListParagraph"/>
        <w:numPr>
          <w:ilvl w:val="0"/>
          <w:numId w:val="51"/>
        </w:numPr>
      </w:pPr>
      <w:r w:rsidRPr="00AF2193">
        <w:t>A required minimum distribution</w:t>
      </w:r>
      <w:r>
        <w:t>;</w:t>
      </w:r>
      <w:r w:rsidRPr="00AF2193">
        <w:t xml:space="preserve"> or</w:t>
      </w:r>
    </w:p>
    <w:p w14:paraId="58398D94" w14:textId="77777777" w:rsidR="00ED5B85" w:rsidRPr="00AF2193" w:rsidRDefault="00C06FCB" w:rsidP="007A5E54">
      <w:pPr>
        <w:pStyle w:val="ListParagraph"/>
        <w:numPr>
          <w:ilvl w:val="0"/>
          <w:numId w:val="51"/>
        </w:numPr>
      </w:pPr>
      <w:r w:rsidRPr="00AF2193">
        <w:t>A hardship distribution</w:t>
      </w:r>
      <w:r>
        <w:t>.</w:t>
      </w:r>
    </w:p>
    <w:p w14:paraId="32F93E0F" w14:textId="77777777" w:rsidR="00434CE0" w:rsidRPr="000B485C" w:rsidRDefault="00ED5B85" w:rsidP="00825E0B">
      <w:pPr>
        <w:rPr>
          <w:szCs w:val="22"/>
        </w:rPr>
      </w:pPr>
      <w:r>
        <w:rPr>
          <w:szCs w:val="22"/>
        </w:rPr>
        <w:t>Although most distributions from these various plans may be rolled over, provided they are eligible, that is not the end of the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story.</w:t>
      </w:r>
      <w:r w:rsidR="00297ACB">
        <w:rPr>
          <w:szCs w:val="22"/>
        </w:rPr>
        <w:t xml:space="preserve"> </w:t>
      </w:r>
      <w:r w:rsidR="00434CE0" w:rsidRPr="000B485C">
        <w:rPr>
          <w:szCs w:val="22"/>
        </w:rPr>
        <w:t xml:space="preserve">Depending upon </w:t>
      </w:r>
      <w:r w:rsidR="00F14977" w:rsidRPr="00F14977">
        <w:rPr>
          <w:i/>
          <w:szCs w:val="22"/>
        </w:rPr>
        <w:t>how the individual handles the rollover</w:t>
      </w:r>
      <w:r w:rsidR="00434CE0" w:rsidRPr="000B485C">
        <w:rPr>
          <w:szCs w:val="22"/>
        </w:rPr>
        <w:t xml:space="preserve">, it may or may not have </w:t>
      </w:r>
      <w:r w:rsidR="00B212A6">
        <w:rPr>
          <w:szCs w:val="22"/>
        </w:rPr>
        <w:t>other</w:t>
      </w:r>
      <w:r w:rsidR="00434CE0" w:rsidRPr="000B485C">
        <w:rPr>
          <w:szCs w:val="22"/>
        </w:rPr>
        <w:t xml:space="preserve"> tax consequences.</w:t>
      </w:r>
    </w:p>
    <w:p w14:paraId="1ECE9061" w14:textId="77777777" w:rsidR="00376A18" w:rsidRDefault="00376A18" w:rsidP="00376A18">
      <w:pPr>
        <w:pStyle w:val="Heading4"/>
      </w:pPr>
      <w:bookmarkStart w:id="35" w:name="_Toc404357152"/>
      <w:r>
        <w:t>Direct and Indirect Rollovers</w:t>
      </w:r>
      <w:bookmarkEnd w:id="35"/>
    </w:p>
    <w:p w14:paraId="7585A54A" w14:textId="77777777" w:rsidR="00ED5B85" w:rsidRDefault="00434CE0" w:rsidP="00825E0B">
      <w:pPr>
        <w:rPr>
          <w:szCs w:val="22"/>
        </w:rPr>
      </w:pPr>
      <w:r w:rsidRPr="000B485C">
        <w:rPr>
          <w:szCs w:val="22"/>
        </w:rPr>
        <w:t xml:space="preserve">There are two </w:t>
      </w:r>
      <w:r w:rsidR="00062A71">
        <w:rPr>
          <w:szCs w:val="22"/>
        </w:rPr>
        <w:t>types of rollovers:</w:t>
      </w:r>
    </w:p>
    <w:p w14:paraId="2322EFBC" w14:textId="77777777" w:rsidR="00062A71" w:rsidRPr="00AF2193" w:rsidRDefault="00434CE0" w:rsidP="007A5E54">
      <w:pPr>
        <w:pStyle w:val="ListParagraph"/>
        <w:numPr>
          <w:ilvl w:val="0"/>
          <w:numId w:val="116"/>
        </w:numPr>
        <w:ind w:left="720"/>
      </w:pPr>
      <w:r w:rsidRPr="00AF2193">
        <w:lastRenderedPageBreak/>
        <w:t>Trustee to participant to trustee</w:t>
      </w:r>
      <w:r w:rsidR="00376A18">
        <w:t>—known as an “indirect rollover</w:t>
      </w:r>
      <w:r w:rsidR="00A95039">
        <w:fldChar w:fldCharType="begin"/>
      </w:r>
      <w:r w:rsidR="00293611">
        <w:instrText xml:space="preserve"> XE "</w:instrText>
      </w:r>
      <w:r w:rsidR="00293611" w:rsidRPr="00C06FCB">
        <w:rPr>
          <w:szCs w:val="22"/>
        </w:rPr>
        <w:instrText>rollover</w:instrText>
      </w:r>
      <w:r w:rsidR="00293611">
        <w:instrText xml:space="preserve">" </w:instrText>
      </w:r>
      <w:r w:rsidR="00A95039">
        <w:fldChar w:fldCharType="end"/>
      </w:r>
      <w:r w:rsidR="00AF2193" w:rsidRPr="00AF2193">
        <w:t>,</w:t>
      </w:r>
      <w:r w:rsidR="00376A18">
        <w:t>”</w:t>
      </w:r>
      <w:r w:rsidR="00AF2193" w:rsidRPr="00AF2193">
        <w:t xml:space="preserve"> and</w:t>
      </w:r>
    </w:p>
    <w:p w14:paraId="0E53CFD9" w14:textId="77777777" w:rsidR="00434CE0" w:rsidRPr="00AF2193" w:rsidRDefault="00434CE0" w:rsidP="007A5E54">
      <w:pPr>
        <w:pStyle w:val="ListParagraph"/>
        <w:numPr>
          <w:ilvl w:val="0"/>
          <w:numId w:val="116"/>
        </w:numPr>
        <w:ind w:left="720"/>
      </w:pPr>
      <w:r w:rsidRPr="00AF2193">
        <w:t>Trustee to trustee</w:t>
      </w:r>
      <w:r w:rsidR="00376A18">
        <w:t>—known as a “direct rollover</w:t>
      </w:r>
      <w:r w:rsidR="00A95039">
        <w:fldChar w:fldCharType="begin"/>
      </w:r>
      <w:r w:rsidR="00293611">
        <w:instrText xml:space="preserve"> XE "</w:instrText>
      </w:r>
      <w:r w:rsidR="00293611" w:rsidRPr="00C06FCB">
        <w:rPr>
          <w:szCs w:val="22"/>
        </w:rPr>
        <w:instrText>rollover</w:instrText>
      </w:r>
      <w:r w:rsidR="00293611">
        <w:instrText xml:space="preserve">" </w:instrText>
      </w:r>
      <w:r w:rsidR="00A95039">
        <w:fldChar w:fldCharType="end"/>
      </w:r>
      <w:r w:rsidR="00376A18">
        <w:t>.”</w:t>
      </w:r>
    </w:p>
    <w:p w14:paraId="4059756C" w14:textId="77777777" w:rsidR="00434CE0" w:rsidRPr="000B485C" w:rsidRDefault="00434CE0" w:rsidP="00825E0B">
      <w:pPr>
        <w:rPr>
          <w:szCs w:val="22"/>
        </w:rPr>
      </w:pPr>
      <w:r w:rsidRPr="000B485C">
        <w:rPr>
          <w:szCs w:val="22"/>
        </w:rPr>
        <w:t>A trustee can make the rollo</w:t>
      </w:r>
      <w:r w:rsidR="00582E3D">
        <w:rPr>
          <w:szCs w:val="22"/>
        </w:rPr>
        <w:t>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582E3D">
        <w:rPr>
          <w:szCs w:val="22"/>
        </w:rPr>
        <w:t xml:space="preserve"> directly to another trustee—for example, a pension plan trustee can send the funds directly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582E3D">
        <w:rPr>
          <w:szCs w:val="22"/>
        </w:rPr>
        <w:t xml:space="preserve"> trustee or to another qualified plan trustee</w:t>
      </w:r>
      <w:r w:rsidR="00531816">
        <w:rPr>
          <w:szCs w:val="22"/>
        </w:rPr>
        <w:t xml:space="preserve"> by wire transfer or some other means</w:t>
      </w:r>
      <w:r w:rsidR="00582E3D">
        <w:rPr>
          <w:szCs w:val="22"/>
        </w:rPr>
        <w:t>—</w:t>
      </w:r>
      <w:r w:rsidRPr="000B485C">
        <w:rPr>
          <w:szCs w:val="22"/>
        </w:rPr>
        <w:t xml:space="preserve">or it can </w:t>
      </w:r>
      <w:r w:rsidR="00582E3D">
        <w:rPr>
          <w:szCs w:val="22"/>
        </w:rPr>
        <w:t xml:space="preserve">pay the funds </w:t>
      </w:r>
      <w:r w:rsidRPr="000B485C">
        <w:rPr>
          <w:szCs w:val="22"/>
        </w:rPr>
        <w:t>to the individual.</w:t>
      </w:r>
      <w:r w:rsidR="00297ACB">
        <w:rPr>
          <w:szCs w:val="22"/>
        </w:rPr>
        <w:t xml:space="preserve"> </w:t>
      </w:r>
      <w:r w:rsidRPr="000B485C">
        <w:rPr>
          <w:szCs w:val="22"/>
        </w:rPr>
        <w:t xml:space="preserve">Unfortunately, when </w:t>
      </w:r>
      <w:r w:rsidR="00C06FCB">
        <w:rPr>
          <w:szCs w:val="22"/>
        </w:rPr>
        <w:t xml:space="preserve">non-IRA </w:t>
      </w:r>
      <w:r w:rsidRPr="000B485C">
        <w:rPr>
          <w:szCs w:val="22"/>
        </w:rPr>
        <w:t xml:space="preserve">rollover </w:t>
      </w:r>
      <w:r w:rsidR="00582E3D">
        <w:rPr>
          <w:szCs w:val="22"/>
        </w:rPr>
        <w:t>funds are</w:t>
      </w:r>
      <w:r w:rsidRPr="000B485C">
        <w:rPr>
          <w:szCs w:val="22"/>
        </w:rPr>
        <w:t xml:space="preserve"> paid to the individual</w:t>
      </w:r>
      <w:r w:rsidR="00582E3D">
        <w:rPr>
          <w:szCs w:val="22"/>
        </w:rPr>
        <w:t xml:space="preserve"> for subsequent </w:t>
      </w:r>
      <w:r w:rsidR="00DB650C">
        <w:rPr>
          <w:szCs w:val="22"/>
        </w:rPr>
        <w:t xml:space="preserve">rollover </w:t>
      </w:r>
      <w:r w:rsidR="00582E3D">
        <w:rPr>
          <w:szCs w:val="22"/>
        </w:rPr>
        <w:t>to the new plan trustee</w:t>
      </w:r>
      <w:r w:rsidRPr="000B485C">
        <w:rPr>
          <w:szCs w:val="22"/>
        </w:rPr>
        <w:t xml:space="preserve">, </w:t>
      </w:r>
      <w:r w:rsidR="00582E3D">
        <w:rPr>
          <w:szCs w:val="22"/>
        </w:rPr>
        <w:t>they come</w:t>
      </w:r>
      <w:r w:rsidRPr="000B485C">
        <w:rPr>
          <w:szCs w:val="22"/>
        </w:rPr>
        <w:t xml:space="preserve"> with some </w:t>
      </w:r>
      <w:r w:rsidR="00582E3D">
        <w:rPr>
          <w:szCs w:val="22"/>
        </w:rPr>
        <w:t xml:space="preserve">serious </w:t>
      </w:r>
      <w:r w:rsidRPr="000B485C">
        <w:rPr>
          <w:szCs w:val="22"/>
        </w:rPr>
        <w:t>strings attached.</w:t>
      </w:r>
    </w:p>
    <w:p w14:paraId="42FA95EA" w14:textId="77777777" w:rsidR="005D116F" w:rsidRDefault="00DB650C">
      <w:pPr>
        <w:pStyle w:val="Heading5"/>
      </w:pPr>
      <w:bookmarkStart w:id="36" w:name="_Toc404357153"/>
      <w:r>
        <w:t>Mandatory Withholding</w:t>
      </w:r>
      <w:bookmarkEnd w:id="36"/>
      <w:r>
        <w:t xml:space="preserve"> </w:t>
      </w:r>
    </w:p>
    <w:p w14:paraId="2255F825" w14:textId="77777777" w:rsidR="00613B1F" w:rsidRDefault="00613B1F" w:rsidP="00825E0B">
      <w:pPr>
        <w:rPr>
          <w:szCs w:val="22"/>
        </w:rPr>
      </w:pPr>
      <w:r>
        <w:rPr>
          <w:szCs w:val="22"/>
        </w:rPr>
        <w:t xml:space="preserve">At the outset of this discussion on </w:t>
      </w:r>
      <w:r w:rsidR="00AA27E0">
        <w:rPr>
          <w:szCs w:val="22"/>
        </w:rPr>
        <w:t>trustee-to-trustee</w:t>
      </w:r>
      <w:r>
        <w:rPr>
          <w:szCs w:val="22"/>
        </w:rPr>
        <w:t xml:space="preserve"> </w:t>
      </w:r>
      <w:r w:rsidR="00AA27E0">
        <w:rPr>
          <w:szCs w:val="22"/>
        </w:rPr>
        <w:t xml:space="preserve">rollovers </w:t>
      </w:r>
      <w:r>
        <w:rPr>
          <w:szCs w:val="22"/>
        </w:rPr>
        <w:t>and rollovers</w:t>
      </w:r>
      <w:r w:rsidR="00AA27E0">
        <w:rPr>
          <w:szCs w:val="22"/>
        </w:rPr>
        <w:t xml:space="preserve"> in which payment is initially made to the individual</w:t>
      </w:r>
      <w:r>
        <w:rPr>
          <w:szCs w:val="22"/>
        </w:rPr>
        <w:t>, we need to make a distinction between rollovers from an IRA and rollovers from plans other than IRAs.</w:t>
      </w:r>
    </w:p>
    <w:p w14:paraId="571D5784" w14:textId="77777777" w:rsidR="00434CE0" w:rsidRPr="000B485C" w:rsidRDefault="00AA27E0" w:rsidP="00825E0B">
      <w:pPr>
        <w:rPr>
          <w:szCs w:val="22"/>
        </w:rPr>
      </w:pPr>
      <w:r>
        <w:rPr>
          <w:szCs w:val="22"/>
        </w:rPr>
        <w:t>Any distribution</w:t>
      </w:r>
      <w:r w:rsidR="00434CE0" w:rsidRPr="000B485C">
        <w:rPr>
          <w:szCs w:val="22"/>
        </w:rPr>
        <w:t xml:space="preserve"> to a participant from a qualified plan</w:t>
      </w:r>
      <w:r>
        <w:rPr>
          <w:szCs w:val="22"/>
        </w:rPr>
        <w:t>, §457 governmental plan</w:t>
      </w:r>
      <w:r w:rsidR="00434CE0" w:rsidRPr="000B485C">
        <w:rPr>
          <w:szCs w:val="22"/>
        </w:rPr>
        <w:t xml:space="preserve"> or </w:t>
      </w:r>
      <w:r>
        <w:rPr>
          <w:szCs w:val="22"/>
        </w:rPr>
        <w:t>§403(b)</w:t>
      </w:r>
      <w:r w:rsidR="00434CE0" w:rsidRPr="000B485C">
        <w:rPr>
          <w:szCs w:val="22"/>
        </w:rPr>
        <w:t xml:space="preserve"> tax</w:t>
      </w:r>
      <w:r>
        <w:rPr>
          <w:szCs w:val="22"/>
        </w:rPr>
        <w:t>-</w:t>
      </w:r>
      <w:r w:rsidR="00434CE0" w:rsidRPr="000B485C">
        <w:rPr>
          <w:szCs w:val="22"/>
        </w:rPr>
        <w:t>sheltered annuity</w:t>
      </w:r>
      <w:r w:rsidR="007F39CC" w:rsidRPr="007F39CC">
        <w:t xml:space="preserve"> </w:t>
      </w:r>
      <w:r w:rsidR="007F39CC">
        <w:t>other than a required minimum distribution (RMD)</w:t>
      </w:r>
      <w:r w:rsidR="007F39CC">
        <w:rPr>
          <w:szCs w:val="22"/>
        </w:rPr>
        <w:t xml:space="preserve"> </w:t>
      </w:r>
      <w:r w:rsidR="00434CE0" w:rsidRPr="000B485C">
        <w:rPr>
          <w:szCs w:val="22"/>
        </w:rPr>
        <w:t>requires that the trustee of th</w:t>
      </w:r>
      <w:r>
        <w:rPr>
          <w:szCs w:val="22"/>
        </w:rPr>
        <w:t>e distributing plan withhold 20 percent</w:t>
      </w:r>
      <w:r w:rsidR="00434CE0" w:rsidRPr="000B485C">
        <w:rPr>
          <w:szCs w:val="22"/>
        </w:rPr>
        <w:t xml:space="preserve"> of the distribution for taxes</w:t>
      </w:r>
      <w:r w:rsidR="00E32D66" w:rsidRPr="00E32D66">
        <w:t xml:space="preserve"> </w:t>
      </w:r>
      <w:r w:rsidR="00E32D66">
        <w:t>even if that distribution will be rolled over to another plan</w:t>
      </w:r>
      <w:r w:rsidR="00AA1A90">
        <w:t xml:space="preserve"> by the participant</w:t>
      </w:r>
      <w:r w:rsidR="00434CE0" w:rsidRPr="000B485C">
        <w:rPr>
          <w:szCs w:val="22"/>
        </w:rPr>
        <w:t>.</w:t>
      </w:r>
      <w:r w:rsidR="00297ACB">
        <w:rPr>
          <w:szCs w:val="22"/>
        </w:rPr>
        <w:t xml:space="preserve"> </w:t>
      </w:r>
      <w:r w:rsidR="00434CE0" w:rsidRPr="000B485C">
        <w:rPr>
          <w:szCs w:val="22"/>
        </w:rPr>
        <w:t>To make things even worse, the amount withheld</w:t>
      </w:r>
      <w:r w:rsidR="00E32D66">
        <w:rPr>
          <w:szCs w:val="22"/>
        </w:rPr>
        <w:t xml:space="preserve"> for taxes</w:t>
      </w:r>
      <w:r w:rsidR="00434CE0" w:rsidRPr="000B485C">
        <w:rPr>
          <w:szCs w:val="22"/>
        </w:rPr>
        <w:t xml:space="preserve"> is</w:t>
      </w:r>
      <w:r w:rsidR="008A7A72">
        <w:rPr>
          <w:szCs w:val="22"/>
        </w:rPr>
        <w:t xml:space="preserve"> itself</w:t>
      </w:r>
      <w:r w:rsidR="00434CE0" w:rsidRPr="000B485C">
        <w:rPr>
          <w:szCs w:val="22"/>
        </w:rPr>
        <w:t xml:space="preserve"> considered a distribution and subject to taxation</w:t>
      </w:r>
      <w:r>
        <w:rPr>
          <w:szCs w:val="22"/>
        </w:rPr>
        <w:t xml:space="preserve"> and premature withdrawal penalties</w:t>
      </w:r>
      <w:r w:rsidR="00A95039">
        <w:rPr>
          <w:szCs w:val="22"/>
        </w:rPr>
        <w:fldChar w:fldCharType="begin"/>
      </w:r>
      <w:r w:rsidR="00293611">
        <w:instrText xml:space="preserve"> XE "</w:instrText>
      </w:r>
      <w:r w:rsidR="00293611" w:rsidRPr="00CD56BD">
        <w:rPr>
          <w:szCs w:val="22"/>
        </w:rPr>
        <w:instrText>premature withdrawal penalties</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E32D66">
        <w:t>In contrast to the required withholding required in the case of distributions from qualified plans, r</w:t>
      </w:r>
      <w:r>
        <w:rPr>
          <w:szCs w:val="22"/>
        </w:rPr>
        <w:t>ollovers from traditional IRAs are not subject to the mandatory 20 percent withholding</w:t>
      </w:r>
      <w:r w:rsidR="00B94FFC">
        <w:rPr>
          <w:szCs w:val="22"/>
        </w:rPr>
        <w:t>, even when the individual receives a distribution</w:t>
      </w:r>
      <w:r w:rsidR="00F96673">
        <w:rPr>
          <w:szCs w:val="22"/>
        </w:rPr>
        <w:t xml:space="preserve"> directly</w:t>
      </w:r>
      <w:r>
        <w:rPr>
          <w:szCs w:val="22"/>
        </w:rPr>
        <w:t>.</w:t>
      </w:r>
    </w:p>
    <w:p w14:paraId="1BB34603" w14:textId="77777777" w:rsidR="008A7A72" w:rsidRDefault="008A7A72" w:rsidP="00825E0B">
      <w:pPr>
        <w:rPr>
          <w:szCs w:val="22"/>
        </w:rPr>
      </w:pPr>
      <w:r>
        <w:rPr>
          <w:szCs w:val="22"/>
        </w:rPr>
        <w:t>Let’s consider an example of 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involving the mandatory withholding</w:t>
      </w:r>
      <w:r w:rsidR="00A95039">
        <w:rPr>
          <w:szCs w:val="22"/>
        </w:rPr>
        <w:fldChar w:fldCharType="begin"/>
      </w:r>
      <w:r w:rsidR="00293611">
        <w:instrText xml:space="preserve"> XE "</w:instrText>
      </w:r>
      <w:r w:rsidR="00293611" w:rsidRPr="00CD56BD">
        <w:rPr>
          <w:szCs w:val="22"/>
        </w:rPr>
        <w:instrText>mandatory withholding</w:instrText>
      </w:r>
      <w:r w:rsidR="00293611">
        <w:instrText xml:space="preserve">" </w:instrText>
      </w:r>
      <w:r w:rsidR="00A95039">
        <w:rPr>
          <w:szCs w:val="22"/>
        </w:rPr>
        <w:fldChar w:fldCharType="end"/>
      </w:r>
      <w:r>
        <w:rPr>
          <w:szCs w:val="22"/>
        </w:rPr>
        <w:t>.</w:t>
      </w:r>
      <w:r w:rsidR="00297ACB">
        <w:rPr>
          <w:szCs w:val="22"/>
        </w:rPr>
        <w:t xml:space="preserve"> </w:t>
      </w:r>
      <w:r>
        <w:rPr>
          <w:szCs w:val="22"/>
        </w:rPr>
        <w:t>Suppose Bob White was a participant in his firm’s 401(k) plan and had a vested account balance of $100,000.</w:t>
      </w:r>
      <w:r w:rsidR="00297ACB">
        <w:rPr>
          <w:szCs w:val="22"/>
        </w:rPr>
        <w:t xml:space="preserve"> </w:t>
      </w:r>
      <w:r>
        <w:rPr>
          <w:szCs w:val="22"/>
        </w:rPr>
        <w:t>If the account balance was distributed to Bob, the plan trustee would be required to withhold $20,000 and pay the $80,000 balance to Bob.</w:t>
      </w:r>
    </w:p>
    <w:p w14:paraId="47919983" w14:textId="77777777" w:rsidR="008A7A72" w:rsidRDefault="008A7A72" w:rsidP="00825E0B">
      <w:pPr>
        <w:rPr>
          <w:szCs w:val="22"/>
        </w:rPr>
      </w:pPr>
      <w:r>
        <w:rPr>
          <w:szCs w:val="22"/>
        </w:rPr>
        <w:t xml:space="preserve">If Bob chose to roll the funds in the </w:t>
      </w:r>
      <w:r w:rsidR="009743B8">
        <w:rPr>
          <w:szCs w:val="22"/>
        </w:rPr>
        <w:t xml:space="preserve">qualified plan </w:t>
      </w:r>
      <w:r>
        <w:rPr>
          <w:szCs w:val="22"/>
        </w:rPr>
        <w:t>account over to another plan or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F0DD8">
        <w:rPr>
          <w:szCs w:val="22"/>
        </w:rPr>
        <w:t>, he would only have the $80,000 distributed to him with which to do that.</w:t>
      </w:r>
      <w:r w:rsidR="00297ACB">
        <w:rPr>
          <w:szCs w:val="22"/>
        </w:rPr>
        <w:t xml:space="preserve"> </w:t>
      </w:r>
      <w:r w:rsidR="004F0DD8">
        <w:rPr>
          <w:szCs w:val="22"/>
        </w:rPr>
        <w:t>Alternatively, he could remove $20,000 from his savings and add it to his net distribution to bring the funds back up to the amount that he could roll over.</w:t>
      </w:r>
      <w:r w:rsidR="00297ACB">
        <w:rPr>
          <w:szCs w:val="22"/>
        </w:rPr>
        <w:t xml:space="preserve"> </w:t>
      </w:r>
      <w:r w:rsidR="004F0DD8">
        <w:rPr>
          <w:szCs w:val="22"/>
        </w:rPr>
        <w:t xml:space="preserve">The </w:t>
      </w:r>
      <w:r w:rsidR="00E32D66">
        <w:rPr>
          <w:szCs w:val="22"/>
        </w:rPr>
        <w:t xml:space="preserve">$20,000 </w:t>
      </w:r>
      <w:r w:rsidR="004F0DD8">
        <w:rPr>
          <w:szCs w:val="22"/>
        </w:rPr>
        <w:t xml:space="preserve">withheld amount would be shown on his tax form at year-end, and if Bob used his personal funds to make up the amount of the distribution that was withheld, he could recover </w:t>
      </w:r>
      <w:r w:rsidR="009743B8">
        <w:t>the funds taken from his savings</w:t>
      </w:r>
      <w:r w:rsidR="004F0DD8">
        <w:rPr>
          <w:szCs w:val="22"/>
        </w:rPr>
        <w:t xml:space="preserve"> in a tax refund when he filed his annual </w:t>
      </w:r>
      <w:r w:rsidR="00E32D66">
        <w:t xml:space="preserve">federal income tax </w:t>
      </w:r>
      <w:r w:rsidR="00AA1A90">
        <w:t xml:space="preserve">return. </w:t>
      </w:r>
    </w:p>
    <w:p w14:paraId="37BB07D0" w14:textId="77777777" w:rsidR="008146C1" w:rsidRDefault="008146C1" w:rsidP="00825E0B">
      <w:pPr>
        <w:rPr>
          <w:szCs w:val="22"/>
        </w:rPr>
      </w:pPr>
      <w:r>
        <w:rPr>
          <w:szCs w:val="22"/>
        </w:rPr>
        <w:t>Whichever approach that Bob took, he must roll over the funds within 60 days of the distribution in order to avoid inclusion of the distribution in his income.</w:t>
      </w:r>
    </w:p>
    <w:p w14:paraId="1D278C82" w14:textId="77777777" w:rsidR="004F0DD8" w:rsidRDefault="004F0DD8" w:rsidP="00825E0B">
      <w:pPr>
        <w:rPr>
          <w:szCs w:val="22"/>
        </w:rPr>
      </w:pPr>
      <w:r>
        <w:rPr>
          <w:szCs w:val="22"/>
        </w:rPr>
        <w:t>If Bob didn’t have the $20,000 available or chose not to make up the withheld amount and just rolled over the $80,000</w:t>
      </w:r>
      <w:r w:rsidR="008146C1">
        <w:rPr>
          <w:szCs w:val="22"/>
        </w:rPr>
        <w:t xml:space="preserve"> within the required 60 days</w:t>
      </w:r>
      <w:r>
        <w:rPr>
          <w:szCs w:val="22"/>
        </w:rPr>
        <w:t>, he would avoid having to include the amount rolled over in his income.</w:t>
      </w:r>
      <w:r w:rsidR="00297ACB">
        <w:rPr>
          <w:szCs w:val="22"/>
        </w:rPr>
        <w:t xml:space="preserve"> </w:t>
      </w:r>
      <w:r>
        <w:rPr>
          <w:szCs w:val="22"/>
        </w:rPr>
        <w:t xml:space="preserve">Unfortunately, however, the $20,000 withheld </w:t>
      </w:r>
      <w:r w:rsidR="00E32D66">
        <w:rPr>
          <w:szCs w:val="22"/>
        </w:rPr>
        <w:t xml:space="preserve">by the plan trustee </w:t>
      </w:r>
      <w:r>
        <w:rPr>
          <w:szCs w:val="22"/>
        </w:rPr>
        <w:t xml:space="preserve">is considered a taxable distribution </w:t>
      </w:r>
      <w:r w:rsidR="00AA1A90">
        <w:rPr>
          <w:szCs w:val="22"/>
        </w:rPr>
        <w:t xml:space="preserve">to Bob </w:t>
      </w:r>
      <w:r>
        <w:rPr>
          <w:szCs w:val="22"/>
        </w:rPr>
        <w:t>and, if Bob is less than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 </w:t>
      </w:r>
      <w:r w:rsidR="00B94FFC">
        <w:rPr>
          <w:szCs w:val="22"/>
        </w:rPr>
        <w:t>the distribution would be considered premature and subject to a 10 percent penalty tax.</w:t>
      </w:r>
    </w:p>
    <w:p w14:paraId="114617D1" w14:textId="77777777" w:rsidR="00B94FFC" w:rsidRDefault="00B94FFC" w:rsidP="00825E0B">
      <w:pPr>
        <w:rPr>
          <w:szCs w:val="22"/>
        </w:rPr>
      </w:pPr>
      <w:r>
        <w:rPr>
          <w:szCs w:val="22"/>
        </w:rPr>
        <w:t>Assuming that Bob was in a 25 percent federal income tax bracket, he could have an unintended federal income tax liability of $7,000 resulting solely from the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The bulk of that </w:t>
      </w:r>
      <w:r w:rsidR="00AA1A90">
        <w:rPr>
          <w:szCs w:val="22"/>
        </w:rPr>
        <w:t xml:space="preserve">tax </w:t>
      </w:r>
      <w:r>
        <w:rPr>
          <w:szCs w:val="22"/>
        </w:rPr>
        <w:t xml:space="preserve">liability—$5,000—is attributable to the federal income tax </w:t>
      </w:r>
      <w:r w:rsidR="00AA1A90">
        <w:rPr>
          <w:szCs w:val="22"/>
        </w:rPr>
        <w:t xml:space="preserve">due </w:t>
      </w:r>
      <w:r>
        <w:rPr>
          <w:szCs w:val="22"/>
        </w:rPr>
        <w:t xml:space="preserve">on the </w:t>
      </w:r>
      <w:r w:rsidR="00AA1A90">
        <w:rPr>
          <w:szCs w:val="22"/>
        </w:rPr>
        <w:t xml:space="preserve">withheld </w:t>
      </w:r>
      <w:r>
        <w:rPr>
          <w:szCs w:val="22"/>
        </w:rPr>
        <w:t>$20,000.</w:t>
      </w:r>
      <w:r w:rsidR="00297ACB">
        <w:rPr>
          <w:szCs w:val="22"/>
        </w:rPr>
        <w:t xml:space="preserve"> </w:t>
      </w:r>
      <w:r>
        <w:rPr>
          <w:szCs w:val="22"/>
        </w:rPr>
        <w:t>($20,000 x 25% = $5,000)</w:t>
      </w:r>
      <w:r w:rsidR="00297ACB">
        <w:rPr>
          <w:szCs w:val="22"/>
        </w:rPr>
        <w:t xml:space="preserve"> </w:t>
      </w:r>
      <w:r>
        <w:rPr>
          <w:szCs w:val="22"/>
        </w:rPr>
        <w:t xml:space="preserve">The remainder of Bob’s $7,000 tax liability is </w:t>
      </w:r>
      <w:r w:rsidR="00AA1A90">
        <w:rPr>
          <w:szCs w:val="22"/>
        </w:rPr>
        <w:t xml:space="preserve">due to </w:t>
      </w:r>
      <w:r>
        <w:rPr>
          <w:szCs w:val="22"/>
        </w:rPr>
        <w:t>the 10 percent premature withdrawal tax penalty levied against the withdrawal</w:t>
      </w:r>
      <w:r w:rsidR="009743B8" w:rsidRPr="009743B8">
        <w:t xml:space="preserve"> </w:t>
      </w:r>
      <w:r w:rsidR="00AA1A90">
        <w:t xml:space="preserve">that </w:t>
      </w:r>
      <w:r w:rsidR="009743B8">
        <w:t>he must include in his income</w:t>
      </w:r>
      <w:r>
        <w:rPr>
          <w:szCs w:val="22"/>
        </w:rPr>
        <w:t>.</w:t>
      </w:r>
      <w:r w:rsidR="00297ACB">
        <w:rPr>
          <w:szCs w:val="22"/>
        </w:rPr>
        <w:t xml:space="preserve"> </w:t>
      </w:r>
      <w:r>
        <w:rPr>
          <w:szCs w:val="22"/>
        </w:rPr>
        <w:t xml:space="preserve">($20,000 x </w:t>
      </w:r>
      <w:r>
        <w:rPr>
          <w:szCs w:val="22"/>
        </w:rPr>
        <w:lastRenderedPageBreak/>
        <w:t>10% = $2,000)</w:t>
      </w:r>
      <w:r w:rsidR="00E32D66" w:rsidRPr="00E32D66">
        <w:t xml:space="preserve"> </w:t>
      </w:r>
      <w:r w:rsidR="00E32D66">
        <w:t xml:space="preserve"> In addition to the federal income tax liability, Bob could also have to pay state income taxes on the amount withheld.</w:t>
      </w:r>
    </w:p>
    <w:p w14:paraId="490C766E" w14:textId="77777777" w:rsidR="005D116F" w:rsidRDefault="00E32D66">
      <w:pPr>
        <w:pStyle w:val="Heading4"/>
      </w:pPr>
      <w:bookmarkStart w:id="37" w:name="_Toc404357154"/>
      <w:r>
        <w:t>Avoiding Rollover Withholding</w:t>
      </w:r>
      <w:bookmarkEnd w:id="37"/>
    </w:p>
    <w:p w14:paraId="7E283B11" w14:textId="77777777" w:rsidR="00434CE0" w:rsidRDefault="00434CE0" w:rsidP="00825E0B">
      <w:pPr>
        <w:rPr>
          <w:szCs w:val="22"/>
        </w:rPr>
      </w:pPr>
      <w:r w:rsidRPr="000B485C">
        <w:rPr>
          <w:szCs w:val="22"/>
        </w:rPr>
        <w:t xml:space="preserve">The </w:t>
      </w:r>
      <w:r w:rsidR="008146C1">
        <w:rPr>
          <w:szCs w:val="22"/>
        </w:rPr>
        <w:t>way to</w:t>
      </w:r>
      <w:r w:rsidRPr="000B485C">
        <w:rPr>
          <w:szCs w:val="22"/>
        </w:rPr>
        <w:t xml:space="preserve"> avoid that </w:t>
      </w:r>
      <w:r w:rsidR="00AA27E0">
        <w:rPr>
          <w:szCs w:val="22"/>
        </w:rPr>
        <w:t>mandatory withholding</w:t>
      </w:r>
      <w:r w:rsidR="00A95039">
        <w:rPr>
          <w:szCs w:val="22"/>
        </w:rPr>
        <w:fldChar w:fldCharType="begin"/>
      </w:r>
      <w:r w:rsidR="00293611">
        <w:instrText xml:space="preserve"> XE "</w:instrText>
      </w:r>
      <w:r w:rsidR="00293611" w:rsidRPr="00CD56BD">
        <w:rPr>
          <w:szCs w:val="22"/>
        </w:rPr>
        <w:instrText>mandatory withholding</w:instrText>
      </w:r>
      <w:r w:rsidR="00293611">
        <w:instrText xml:space="preserve">" </w:instrText>
      </w:r>
      <w:r w:rsidR="00A95039">
        <w:rPr>
          <w:szCs w:val="22"/>
        </w:rPr>
        <w:fldChar w:fldCharType="end"/>
      </w:r>
      <w:r w:rsidR="00AA27E0">
        <w:rPr>
          <w:szCs w:val="22"/>
        </w:rPr>
        <w:t xml:space="preserve"> of taxes</w:t>
      </w:r>
      <w:r w:rsidR="00E32D66" w:rsidRPr="00E32D66">
        <w:t xml:space="preserve"> </w:t>
      </w:r>
      <w:r w:rsidR="00E32D66">
        <w:t>on rollover funds from various tax-advantaged plans</w:t>
      </w:r>
      <w:r w:rsidR="00AA27E0">
        <w:rPr>
          <w:szCs w:val="22"/>
        </w:rPr>
        <w:t xml:space="preserve"> </w:t>
      </w:r>
      <w:r w:rsidR="00B94FFC">
        <w:rPr>
          <w:szCs w:val="22"/>
        </w:rPr>
        <w:t xml:space="preserve">and the resulting tax liability </w:t>
      </w:r>
      <w:r w:rsidRPr="000B485C">
        <w:rPr>
          <w:szCs w:val="22"/>
        </w:rPr>
        <w:t>is fairly straightforward.</w:t>
      </w:r>
      <w:r w:rsidR="00297ACB">
        <w:rPr>
          <w:szCs w:val="22"/>
        </w:rPr>
        <w:t xml:space="preserve"> </w:t>
      </w:r>
      <w:r w:rsidR="00AA27E0">
        <w:rPr>
          <w:szCs w:val="22"/>
        </w:rPr>
        <w:t>It is a</w:t>
      </w:r>
      <w:r w:rsidRPr="000B485C">
        <w:rPr>
          <w:szCs w:val="22"/>
        </w:rPr>
        <w:t xml:space="preserve"> </w:t>
      </w:r>
      <w:r w:rsidR="00AA27E0">
        <w:rPr>
          <w:szCs w:val="22"/>
        </w:rPr>
        <w:t>t</w:t>
      </w:r>
      <w:r w:rsidRPr="000B485C">
        <w:rPr>
          <w:szCs w:val="22"/>
        </w:rPr>
        <w:t>rustee-to-trustee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B212A6">
        <w:rPr>
          <w:szCs w:val="22"/>
        </w:rPr>
        <w:t>, a transfer of funds made directly from the trustee of the existing plan to the trustee of the new plan</w:t>
      </w:r>
      <w:r w:rsidR="008A7A72">
        <w:rPr>
          <w:szCs w:val="22"/>
        </w:rPr>
        <w:t>.</w:t>
      </w:r>
      <w:r w:rsidR="00297ACB">
        <w:rPr>
          <w:szCs w:val="22"/>
        </w:rPr>
        <w:t xml:space="preserve"> </w:t>
      </w:r>
      <w:r w:rsidRPr="000B485C">
        <w:rPr>
          <w:szCs w:val="22"/>
        </w:rPr>
        <w:t>By using a trustee-to-trustee rollover of the funds from either a qualified plan</w:t>
      </w:r>
      <w:r w:rsidR="008A7A72">
        <w:rPr>
          <w:szCs w:val="22"/>
        </w:rPr>
        <w:t>, §457 governmental plan</w:t>
      </w:r>
      <w:r w:rsidR="008A7A72" w:rsidRPr="000B485C">
        <w:rPr>
          <w:szCs w:val="22"/>
        </w:rPr>
        <w:t xml:space="preserve"> or </w:t>
      </w:r>
      <w:r w:rsidR="008A7A72">
        <w:rPr>
          <w:szCs w:val="22"/>
        </w:rPr>
        <w:t>§403(b)</w:t>
      </w:r>
      <w:r w:rsidR="008A7A72" w:rsidRPr="000B485C">
        <w:rPr>
          <w:szCs w:val="22"/>
        </w:rPr>
        <w:t xml:space="preserve"> </w:t>
      </w:r>
      <w:r w:rsidRPr="000B485C">
        <w:rPr>
          <w:szCs w:val="22"/>
        </w:rPr>
        <w:t>tax</w:t>
      </w:r>
      <w:r w:rsidR="00B94FFC">
        <w:rPr>
          <w:szCs w:val="22"/>
        </w:rPr>
        <w:t>-</w:t>
      </w:r>
      <w:r w:rsidRPr="000B485C">
        <w:rPr>
          <w:szCs w:val="22"/>
        </w:rPr>
        <w:t xml:space="preserve">sheltered annuity, the participant can avoid the </w:t>
      </w:r>
      <w:r w:rsidR="008A7A72">
        <w:rPr>
          <w:szCs w:val="22"/>
        </w:rPr>
        <w:t xml:space="preserve">mandatory 20 percent </w:t>
      </w:r>
      <w:r w:rsidRPr="000B485C">
        <w:rPr>
          <w:szCs w:val="22"/>
        </w:rPr>
        <w:t>withholding by the transferring trustee.</w:t>
      </w:r>
      <w:r w:rsidR="00297ACB">
        <w:rPr>
          <w:szCs w:val="22"/>
        </w:rPr>
        <w:t xml:space="preserve"> </w:t>
      </w:r>
      <w:r w:rsidR="008146C1">
        <w:rPr>
          <w:szCs w:val="22"/>
        </w:rPr>
        <w:t>The entire account balance can be quickly and efficiently transferred from one plan to another.</w:t>
      </w:r>
    </w:p>
    <w:p w14:paraId="686EE499" w14:textId="77777777" w:rsidR="003F6485" w:rsidRDefault="003F6485" w:rsidP="003F6485">
      <w:pPr>
        <w:pStyle w:val="Heading4"/>
      </w:pPr>
      <w:bookmarkStart w:id="38" w:name="_Toc404357155"/>
      <w:r>
        <w:t>Indirect Rollovers Subject to Timing and Frequency Limitations</w:t>
      </w:r>
      <w:bookmarkEnd w:id="38"/>
    </w:p>
    <w:p w14:paraId="0144B14E" w14:textId="77777777" w:rsidR="00434CE0" w:rsidRPr="000B485C" w:rsidRDefault="003F6485" w:rsidP="00825E0B">
      <w:pPr>
        <w:rPr>
          <w:szCs w:val="22"/>
        </w:rPr>
      </w:pPr>
      <w:r>
        <w:rPr>
          <w:szCs w:val="22"/>
        </w:rPr>
        <w:t>As noted just above, m</w:t>
      </w:r>
      <w:r w:rsidR="00434CE0" w:rsidRPr="000B485C">
        <w:rPr>
          <w:szCs w:val="22"/>
        </w:rPr>
        <w:t>andatory withholding</w:t>
      </w:r>
      <w:r w:rsidR="00A95039">
        <w:rPr>
          <w:szCs w:val="22"/>
        </w:rPr>
        <w:fldChar w:fldCharType="begin"/>
      </w:r>
      <w:r w:rsidR="00293611">
        <w:instrText xml:space="preserve"> XE "</w:instrText>
      </w:r>
      <w:r w:rsidR="00293611" w:rsidRPr="00CD56BD">
        <w:rPr>
          <w:szCs w:val="22"/>
        </w:rPr>
        <w:instrText>mandatory withholding</w:instrText>
      </w:r>
      <w:r w:rsidR="00293611">
        <w:instrText xml:space="preserve">" </w:instrText>
      </w:r>
      <w:r w:rsidR="00A95039">
        <w:rPr>
          <w:szCs w:val="22"/>
        </w:rPr>
        <w:fldChar w:fldCharType="end"/>
      </w:r>
      <w:r w:rsidR="00434CE0" w:rsidRPr="000B485C">
        <w:rPr>
          <w:szCs w:val="22"/>
        </w:rPr>
        <w:t xml:space="preserve"> does not apply to rollovers or transfers from existing </w:t>
      </w:r>
      <w:r w:rsidR="008146C1">
        <w:rPr>
          <w:szCs w:val="22"/>
        </w:rPr>
        <w:t xml:space="preserve">traditional </w:t>
      </w:r>
      <w:r w:rsidR="00434CE0" w:rsidRPr="000B485C">
        <w:rPr>
          <w:szCs w:val="22"/>
        </w:rPr>
        <w:t>IRAs to new IRAs.</w:t>
      </w:r>
      <w:r w:rsidR="00297ACB">
        <w:rPr>
          <w:szCs w:val="22"/>
        </w:rPr>
        <w:t xml:space="preserve"> </w:t>
      </w:r>
      <w:r w:rsidR="00434CE0" w:rsidRPr="000B485C">
        <w:rPr>
          <w:szCs w:val="22"/>
        </w:rPr>
        <w:t>There are other rules, however, to which an IRA</w:t>
      </w:r>
      <w:r w:rsidR="008146C1">
        <w:rPr>
          <w:szCs w:val="22"/>
        </w:rPr>
        <w:t>-</w:t>
      </w:r>
      <w:r w:rsidR="00434CE0" w:rsidRPr="000B485C">
        <w:rPr>
          <w:szCs w:val="22"/>
        </w:rPr>
        <w:t>to</w:t>
      </w:r>
      <w:r w:rsidR="008146C1">
        <w:rPr>
          <w:szCs w:val="22"/>
        </w:rPr>
        <w:t>-</w:t>
      </w:r>
      <w:r w:rsidR="00434CE0" w:rsidRPr="000B485C">
        <w:rPr>
          <w:szCs w:val="22"/>
        </w:rPr>
        <w:t>IRA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434CE0" w:rsidRPr="000B485C">
        <w:rPr>
          <w:szCs w:val="22"/>
        </w:rPr>
        <w:t xml:space="preserve"> is subject when the funds are dist</w:t>
      </w:r>
      <w:r w:rsidR="008146C1">
        <w:rPr>
          <w:szCs w:val="22"/>
        </w:rPr>
        <w:t>ributed to the individual first:</w:t>
      </w:r>
    </w:p>
    <w:p w14:paraId="4352AA25" w14:textId="77777777" w:rsidR="008146C1" w:rsidRPr="00AF2193" w:rsidRDefault="00434CE0" w:rsidP="007A5E54">
      <w:pPr>
        <w:pStyle w:val="ListParagraph"/>
        <w:numPr>
          <w:ilvl w:val="0"/>
          <w:numId w:val="117"/>
        </w:numPr>
        <w:ind w:left="720"/>
      </w:pPr>
      <w:r w:rsidRPr="00AF2193">
        <w:t>Rollover may only be done once in any one-year period</w:t>
      </w:r>
      <w:r w:rsidR="00C06FCB">
        <w:t>;</w:t>
      </w:r>
      <w:r w:rsidR="00AF2193" w:rsidRPr="00AF2193">
        <w:t xml:space="preserve"> and</w:t>
      </w:r>
    </w:p>
    <w:p w14:paraId="555618BF" w14:textId="77777777" w:rsidR="00434CE0" w:rsidRPr="00AF2193" w:rsidRDefault="00434CE0" w:rsidP="007A5E54">
      <w:pPr>
        <w:pStyle w:val="ListParagraph"/>
        <w:numPr>
          <w:ilvl w:val="0"/>
          <w:numId w:val="117"/>
        </w:numPr>
        <w:ind w:left="720"/>
      </w:pPr>
      <w:r w:rsidRPr="00AF2193">
        <w:t>Rollover must be completed within 60 days of the distribution</w:t>
      </w:r>
      <w:r w:rsidR="00C06FCB">
        <w:t>.</w:t>
      </w:r>
    </w:p>
    <w:p w14:paraId="63002B61" w14:textId="77777777" w:rsidR="00434CE0" w:rsidRPr="000B485C" w:rsidRDefault="00434CE0" w:rsidP="00825E0B">
      <w:pPr>
        <w:rPr>
          <w:szCs w:val="22"/>
        </w:rPr>
      </w:pPr>
      <w:r w:rsidRPr="000B485C">
        <w:rPr>
          <w:szCs w:val="22"/>
        </w:rPr>
        <w:t>There is no age limit beyond which 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Pr="000B485C">
        <w:rPr>
          <w:szCs w:val="22"/>
        </w:rPr>
        <w:t xml:space="preserve"> is prohibited.</w:t>
      </w:r>
      <w:r w:rsidR="00297ACB">
        <w:rPr>
          <w:szCs w:val="22"/>
        </w:rPr>
        <w:t xml:space="preserve"> </w:t>
      </w:r>
      <w:r w:rsidRPr="000B485C">
        <w:rPr>
          <w:szCs w:val="22"/>
        </w:rPr>
        <w:t xml:space="preserve">However, when an individual makes a </w:t>
      </w:r>
      <w:r w:rsidR="00AA4C1E">
        <w:rPr>
          <w:szCs w:val="22"/>
        </w:rPr>
        <w:t>rollover contribution to a traditional</w:t>
      </w:r>
      <w:r w:rsidRPr="000B485C">
        <w:rPr>
          <w:szCs w:val="22"/>
        </w:rPr>
        <w:t xml:space="preserve">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after the taxable year in which he or she attains age 70</w:t>
      </w:r>
      <w:r w:rsidR="0056385E">
        <w:rPr>
          <w:szCs w:val="22"/>
        </w:rPr>
        <w:t>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Pr="000B485C">
        <w:rPr>
          <w:szCs w:val="22"/>
        </w:rPr>
        <w:t xml:space="preserve">, distribution of the </w:t>
      </w:r>
      <w:r w:rsidR="00AA4C1E">
        <w:rPr>
          <w:szCs w:val="22"/>
        </w:rPr>
        <w:t xml:space="preserve">owner’s </w:t>
      </w:r>
      <w:r w:rsidRPr="000B485C">
        <w:rPr>
          <w:szCs w:val="22"/>
        </w:rPr>
        <w:t>interest</w:t>
      </w:r>
      <w:r w:rsidR="00E32D66">
        <w:t>—required minimum distributions, in other words—</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Pr="000B485C">
        <w:rPr>
          <w:szCs w:val="22"/>
        </w:rPr>
        <w:t>must begin by the close of the taxable year of the rollover.</w:t>
      </w:r>
      <w:r w:rsidR="00620FCD">
        <w:rPr>
          <w:szCs w:val="22"/>
        </w:rPr>
        <w:t xml:space="preserve"> Beginning in 2015, all of an individual’s IRAs are considered a single IRA for purposes of the once-a-year IRA rollover rules. Thus, if an IRA owner has two IRAs, taking a distribution from one and rolling it over will cause the owner to be prohibited from rolling funds over from either IRA for the following 12 months.</w:t>
      </w:r>
    </w:p>
    <w:p w14:paraId="188D19D5" w14:textId="77777777" w:rsidR="00434CE0" w:rsidRPr="000B485C" w:rsidRDefault="00620FCD" w:rsidP="00825E0B">
      <w:pPr>
        <w:rPr>
          <w:szCs w:val="22"/>
        </w:rPr>
      </w:pPr>
      <w:r>
        <w:rPr>
          <w:szCs w:val="22"/>
        </w:rPr>
        <w:t xml:space="preserve">These rules can be avoided by using a trustee-to-trustee rollover. </w:t>
      </w:r>
      <w:r w:rsidR="00434CE0" w:rsidRPr="000B485C">
        <w:rPr>
          <w:szCs w:val="22"/>
        </w:rPr>
        <w:t>When an IRA is rolled over into another IRA on a trustee-to-trustee basis, there is no 60-day period involved for the funds’ reinvestment.</w:t>
      </w:r>
      <w:r w:rsidR="00297ACB">
        <w:rPr>
          <w:szCs w:val="22"/>
        </w:rPr>
        <w:t xml:space="preserve"> </w:t>
      </w:r>
      <w:r w:rsidR="00434CE0" w:rsidRPr="000B485C">
        <w:rPr>
          <w:szCs w:val="22"/>
        </w:rPr>
        <w:t xml:space="preserve">Additionally, there is no limit to the number of times during the year that the IRA may be rolled over—as long as the </w:t>
      </w:r>
      <w:r w:rsidR="0056385E">
        <w:rPr>
          <w:szCs w:val="22"/>
        </w:rPr>
        <w:t>individual</w:t>
      </w:r>
      <w:r w:rsidR="00434CE0" w:rsidRPr="000B485C">
        <w:rPr>
          <w:szCs w:val="22"/>
        </w:rPr>
        <w:t xml:space="preserve"> does not receive the funds.</w:t>
      </w:r>
    </w:p>
    <w:p w14:paraId="7824C1F0" w14:textId="77777777" w:rsidR="00EC46D6" w:rsidRDefault="0056385E" w:rsidP="00825E0B">
      <w:pPr>
        <w:rPr>
          <w:szCs w:val="22"/>
        </w:rPr>
      </w:pPr>
      <w:r>
        <w:rPr>
          <w:szCs w:val="22"/>
        </w:rPr>
        <w:t xml:space="preserve">Until the passage of the Economic Growth and Tax </w:t>
      </w:r>
      <w:r w:rsidR="00EC46D6">
        <w:rPr>
          <w:szCs w:val="22"/>
        </w:rPr>
        <w:t xml:space="preserve">Relief </w:t>
      </w:r>
      <w:r>
        <w:rPr>
          <w:szCs w:val="22"/>
        </w:rPr>
        <w:t>Reconciliation</w:t>
      </w:r>
      <w:r w:rsidR="00EC46D6">
        <w:rPr>
          <w:szCs w:val="22"/>
        </w:rPr>
        <w:t xml:space="preserve"> Act of 2001</w:t>
      </w:r>
      <w:r w:rsidR="00A95039">
        <w:rPr>
          <w:szCs w:val="22"/>
        </w:rPr>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rPr>
          <w:szCs w:val="22"/>
        </w:rPr>
        <w:fldChar w:fldCharType="end"/>
      </w:r>
      <w:r w:rsidR="00EC46D6">
        <w:rPr>
          <w:szCs w:val="22"/>
        </w:rPr>
        <w:t xml:space="preserve"> (EGTRRA), the maximum amount that could be rolled over was the amount of the distribution that would be includible in income if it were not rolled over.</w:t>
      </w:r>
      <w:r w:rsidR="00297ACB">
        <w:rPr>
          <w:szCs w:val="22"/>
        </w:rPr>
        <w:t xml:space="preserve"> </w:t>
      </w:r>
      <w:r w:rsidR="00EC46D6">
        <w:rPr>
          <w:szCs w:val="22"/>
        </w:rPr>
        <w:t>As a result of that rule, any after-tax contributions could not be rolled over since they would be received tax-free by the individual.</w:t>
      </w:r>
    </w:p>
    <w:p w14:paraId="353111EB" w14:textId="77777777" w:rsidR="003F6485" w:rsidRDefault="003F6485" w:rsidP="003F6485">
      <w:pPr>
        <w:pStyle w:val="Heading4"/>
      </w:pPr>
      <w:bookmarkStart w:id="39" w:name="_Toc404357156"/>
      <w:r>
        <w:t>EGTRRA Permits Rollover of After-Tax Contributions</w:t>
      </w:r>
      <w:bookmarkEnd w:id="39"/>
    </w:p>
    <w:p w14:paraId="3689366B" w14:textId="77777777" w:rsidR="00EC46D6" w:rsidRDefault="00EC46D6" w:rsidP="00825E0B">
      <w:pPr>
        <w:rPr>
          <w:szCs w:val="22"/>
        </w:rPr>
      </w:pPr>
      <w:r>
        <w:rPr>
          <w:szCs w:val="22"/>
        </w:rPr>
        <w:t>Because of EGTRRA, certain rollovers of after-tax contributions</w:t>
      </w:r>
      <w:r w:rsidR="00A95039">
        <w:rPr>
          <w:szCs w:val="22"/>
        </w:rPr>
        <w:fldChar w:fldCharType="begin"/>
      </w:r>
      <w:r w:rsidR="00293611">
        <w:instrText xml:space="preserve"> XE "</w:instrText>
      </w:r>
      <w:r w:rsidR="00293611" w:rsidRPr="00CD56BD">
        <w:rPr>
          <w:szCs w:val="22"/>
        </w:rPr>
        <w:instrText>rollovers of after-tax contributions</w:instrText>
      </w:r>
      <w:r w:rsidR="00293611">
        <w:instrText xml:space="preserve">" </w:instrText>
      </w:r>
      <w:r w:rsidR="00A95039">
        <w:rPr>
          <w:szCs w:val="22"/>
        </w:rPr>
        <w:fldChar w:fldCharType="end"/>
      </w:r>
      <w:r>
        <w:rPr>
          <w:szCs w:val="22"/>
        </w:rPr>
        <w:t xml:space="preserve"> are permitted.</w:t>
      </w:r>
      <w:r w:rsidR="00297ACB">
        <w:rPr>
          <w:szCs w:val="22"/>
        </w:rPr>
        <w:t xml:space="preserve"> </w:t>
      </w:r>
      <w:r>
        <w:rPr>
          <w:szCs w:val="22"/>
        </w:rPr>
        <w:t xml:space="preserve">For distributions after December 31, 2001, after-tax contributions </w:t>
      </w:r>
      <w:r w:rsidR="00616218">
        <w:rPr>
          <w:szCs w:val="22"/>
        </w:rPr>
        <w:t xml:space="preserve">made to a qualified plan </w:t>
      </w:r>
      <w:r>
        <w:rPr>
          <w:szCs w:val="22"/>
        </w:rPr>
        <w:t xml:space="preserve">can be rolled over from </w:t>
      </w:r>
      <w:r w:rsidR="00616218">
        <w:rPr>
          <w:szCs w:val="22"/>
        </w:rPr>
        <w:t>the</w:t>
      </w:r>
      <w:r>
        <w:rPr>
          <w:szCs w:val="22"/>
        </w:rPr>
        <w:t xml:space="preserve"> qualified plan to a:</w:t>
      </w:r>
    </w:p>
    <w:p w14:paraId="48F97CBD" w14:textId="77777777" w:rsidR="00EC46D6" w:rsidRPr="00CD4472" w:rsidRDefault="00EC46D6" w:rsidP="007A5E54">
      <w:pPr>
        <w:pStyle w:val="ListParagraph"/>
        <w:numPr>
          <w:ilvl w:val="0"/>
          <w:numId w:val="118"/>
        </w:numPr>
        <w:ind w:left="720"/>
      </w:pPr>
      <w:r w:rsidRPr="00CD4472">
        <w:t>Traditional IRA</w:t>
      </w:r>
      <w:r w:rsidR="00C06FCB">
        <w:t>;</w:t>
      </w:r>
      <w:r w:rsidR="00AF2193" w:rsidRPr="00CD4472">
        <w:t xml:space="preserve"> or</w:t>
      </w:r>
    </w:p>
    <w:p w14:paraId="26333EA5" w14:textId="77777777" w:rsidR="00EC46D6" w:rsidRPr="00CD4472" w:rsidRDefault="00EC46D6" w:rsidP="007A5E54">
      <w:pPr>
        <w:pStyle w:val="ListParagraph"/>
        <w:numPr>
          <w:ilvl w:val="0"/>
          <w:numId w:val="118"/>
        </w:numPr>
        <w:ind w:left="720"/>
      </w:pPr>
      <w:r w:rsidRPr="00CD4472">
        <w:t>Defined contribution plan (only if the plan separately accounts for after-tax contributions and the funds are transferred in a direct trustee-to-trustee transfer)</w:t>
      </w:r>
      <w:r w:rsidR="00C06FCB">
        <w:t>.</w:t>
      </w:r>
    </w:p>
    <w:p w14:paraId="16F70D92" w14:textId="77777777" w:rsidR="00A10A71" w:rsidRDefault="003118FD" w:rsidP="00825E0B">
      <w:pPr>
        <w:rPr>
          <w:szCs w:val="22"/>
        </w:rPr>
      </w:pPr>
      <w:r>
        <w:rPr>
          <w:szCs w:val="22"/>
        </w:rPr>
        <w:t>Although after-tax contributions from a qualified plan may be rolled over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the reverse is not true: after-tax IRA contributions may not be rolled over to a qualified plan.</w:t>
      </w:r>
      <w:r w:rsidR="00297ACB">
        <w:rPr>
          <w:szCs w:val="22"/>
        </w:rPr>
        <w:t xml:space="preserve"> </w:t>
      </w:r>
      <w:r>
        <w:rPr>
          <w:szCs w:val="22"/>
        </w:rPr>
        <w:t>They may be rolled over to another IRA, however.</w:t>
      </w:r>
    </w:p>
    <w:p w14:paraId="1ED05469" w14:textId="77777777" w:rsidR="003118FD" w:rsidRDefault="003118FD" w:rsidP="00825E0B">
      <w:pPr>
        <w:rPr>
          <w:szCs w:val="22"/>
        </w:rPr>
      </w:pPr>
      <w:r>
        <w:rPr>
          <w:szCs w:val="22"/>
        </w:rPr>
        <w:lastRenderedPageBreak/>
        <w:t>EGTRRA also provides an exception to the 60-day rule</w:t>
      </w:r>
      <w:r w:rsidR="00A95039">
        <w:rPr>
          <w:szCs w:val="22"/>
        </w:rPr>
        <w:fldChar w:fldCharType="begin"/>
      </w:r>
      <w:r w:rsidR="00293611">
        <w:instrText xml:space="preserve"> XE "</w:instrText>
      </w:r>
      <w:r w:rsidR="00293611" w:rsidRPr="00CD56BD">
        <w:rPr>
          <w:szCs w:val="22"/>
        </w:rPr>
        <w:instrText>60-day rule</w:instrText>
      </w:r>
      <w:r w:rsidR="00293611">
        <w:instrText xml:space="preserve">" </w:instrText>
      </w:r>
      <w:r w:rsidR="00A95039">
        <w:rPr>
          <w:szCs w:val="22"/>
        </w:rPr>
        <w:fldChar w:fldCharType="end"/>
      </w:r>
      <w:r>
        <w:rPr>
          <w:szCs w:val="22"/>
        </w:rPr>
        <w:t xml:space="preserve"> with respect to the time limit for rollovers.</w:t>
      </w:r>
      <w:r w:rsidR="00297ACB">
        <w:rPr>
          <w:szCs w:val="22"/>
        </w:rPr>
        <w:t xml:space="preserve"> </w:t>
      </w:r>
      <w:r>
        <w:rPr>
          <w:szCs w:val="22"/>
        </w:rPr>
        <w:t xml:space="preserve">Prior to </w:t>
      </w:r>
      <w:r w:rsidR="0063680C">
        <w:rPr>
          <w:szCs w:val="22"/>
        </w:rPr>
        <w:t xml:space="preserve">the </w:t>
      </w:r>
      <w:r>
        <w:rPr>
          <w:szCs w:val="22"/>
        </w:rPr>
        <w:t>passage of EGTRRA, the 60-day time limit was strictly enforced by both the IRS and the courts—regardless of the reason for missing the deadline.</w:t>
      </w:r>
      <w:r w:rsidR="00297ACB">
        <w:rPr>
          <w:szCs w:val="22"/>
        </w:rPr>
        <w:t xml:space="preserve"> </w:t>
      </w:r>
      <w:r w:rsidR="0063680C">
        <w:rPr>
          <w:szCs w:val="22"/>
        </w:rPr>
        <w:t>EGTRRA provides a hardship exception to the 60-day rule, under which the Secretary of the Treasury may waive the rule where its enforcement would be against equity or good conscience.</w:t>
      </w:r>
      <w:r w:rsidR="00297ACB">
        <w:rPr>
          <w:szCs w:val="22"/>
        </w:rPr>
        <w:t xml:space="preserve"> </w:t>
      </w:r>
      <w:r w:rsidR="0063680C">
        <w:rPr>
          <w:szCs w:val="22"/>
        </w:rPr>
        <w:t>Examples of circumstances that could result in a waiver of the rule include disasters or other events beyond the individual’s control.</w:t>
      </w:r>
    </w:p>
    <w:p w14:paraId="394306BA" w14:textId="77777777" w:rsidR="0063680C" w:rsidRPr="00DC4341" w:rsidRDefault="0063680C" w:rsidP="00837020">
      <w:pPr>
        <w:pStyle w:val="Heading2"/>
      </w:pPr>
      <w:bookmarkStart w:id="40" w:name="_Toc48025254"/>
      <w:bookmarkStart w:id="41" w:name="_Toc404357157"/>
      <w:r w:rsidRPr="00DC4341">
        <w:t>Summary</w:t>
      </w:r>
      <w:bookmarkEnd w:id="40"/>
      <w:bookmarkEnd w:id="41"/>
    </w:p>
    <w:p w14:paraId="5B65EB74" w14:textId="77777777" w:rsidR="00C95918" w:rsidRDefault="00C95918" w:rsidP="00825E0B">
      <w:pPr>
        <w:rPr>
          <w:szCs w:val="22"/>
        </w:rPr>
      </w:pPr>
      <w:r>
        <w:rPr>
          <w:szCs w:val="22"/>
        </w:rPr>
        <w:t>One of the principal methods used by government to encourage economic actions is the granting of favorable tax treatment; owners of traditional IRAs, as a result, enjoy both the tax-deductibility of contributions and the tax-deferral of income.</w:t>
      </w:r>
      <w:r w:rsidR="00297ACB">
        <w:rPr>
          <w:szCs w:val="22"/>
        </w:rPr>
        <w:t xml:space="preserve"> </w:t>
      </w:r>
      <w:r>
        <w:rPr>
          <w:szCs w:val="22"/>
        </w:rPr>
        <w:t>These tax advantages, because they permit the earning of income by funds that would otherwise have been used to pay income taxes, can result in significant increases in the level of IRA funds accumulated.</w:t>
      </w:r>
    </w:p>
    <w:p w14:paraId="7006B1D5" w14:textId="77777777" w:rsidR="0056385E" w:rsidRDefault="00C95918" w:rsidP="00DB46CB">
      <w:pPr>
        <w:rPr>
          <w:szCs w:val="22"/>
        </w:rPr>
      </w:pPr>
      <w:r>
        <w:rPr>
          <w:szCs w:val="22"/>
        </w:rPr>
        <w:t>An individual’s investment objectives, time horizon and risk tolerance may change over time, and IRAs enable owners to change their investments to reflect those changes.</w:t>
      </w:r>
      <w:r w:rsidR="00297ACB">
        <w:rPr>
          <w:szCs w:val="22"/>
        </w:rPr>
        <w:t xml:space="preserve"> </w:t>
      </w:r>
      <w:r>
        <w:rPr>
          <w:szCs w:val="22"/>
        </w:rPr>
        <w:t>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owner may roll his or her traditional IRA funds over to another IRA, a qualified plan, a §403(b) tax-sheltered annuity</w:t>
      </w:r>
      <w:r w:rsidR="002C39D0">
        <w:rPr>
          <w:szCs w:val="22"/>
        </w:rPr>
        <w:t xml:space="preserve"> or to certain</w:t>
      </w:r>
      <w:r>
        <w:rPr>
          <w:szCs w:val="22"/>
        </w:rPr>
        <w:t xml:space="preserve"> §457 governmental plan</w:t>
      </w:r>
      <w:r w:rsidR="002C39D0">
        <w:rPr>
          <w:szCs w:val="22"/>
        </w:rPr>
        <w:t>s.</w:t>
      </w:r>
      <w:r w:rsidR="00297ACB">
        <w:rPr>
          <w:szCs w:val="22"/>
        </w:rPr>
        <w:t xml:space="preserve"> </w:t>
      </w:r>
      <w:r w:rsidR="002C39D0">
        <w:rPr>
          <w:szCs w:val="22"/>
        </w:rPr>
        <w:t>Provided the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2C39D0">
        <w:rPr>
          <w:szCs w:val="22"/>
        </w:rPr>
        <w:t xml:space="preserve"> meets the requirements of the Internal Revenue Code, the funds will avoid current inclusion in income and will retain their tax deferral.</w:t>
      </w:r>
    </w:p>
    <w:p w14:paraId="4BE11969" w14:textId="77777777" w:rsidR="00DC4341" w:rsidRDefault="008E67DA" w:rsidP="008E67DA">
      <w:pPr>
        <w:pStyle w:val="Heading2"/>
      </w:pPr>
      <w:bookmarkStart w:id="42" w:name="_Toc404357158"/>
      <w:r>
        <w:t>Review Quiz #2</w:t>
      </w:r>
      <w:bookmarkEnd w:id="42"/>
    </w:p>
    <w:p w14:paraId="1598B3AE" w14:textId="77777777" w:rsidR="00906E7D" w:rsidRDefault="00906E7D" w:rsidP="00906E7D">
      <w:pPr>
        <w:ind w:left="360" w:hanging="360"/>
      </w:pPr>
      <w:r>
        <w:t>1.   Helen, age 7</w:t>
      </w:r>
      <w:r w:rsidR="00B11951">
        <w:t>2</w:t>
      </w:r>
      <w:r>
        <w:t xml:space="preserve">, received a $20,000 required minimum distribution in </w:t>
      </w:r>
      <w:r w:rsidR="00E84C06">
        <w:t>201</w:t>
      </w:r>
      <w:r w:rsidR="0060099D">
        <w:t>5</w:t>
      </w:r>
      <w:r>
        <w:t xml:space="preserve"> from her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Since she has sufficient income from other sources, she wants to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xml:space="preserve"> the distribution</w:t>
      </w:r>
      <w:r w:rsidR="00B11951">
        <w:t xml:space="preserve"> to another traditional IRA</w:t>
      </w:r>
      <w:r>
        <w:t xml:space="preserve">. What is the maximum amount </w:t>
      </w:r>
      <w:r w:rsidR="00B11951">
        <w:t xml:space="preserve">she will be able to </w:t>
      </w:r>
      <w:r>
        <w:t>rollover, assuming she uses no savings to make up for any mandatory withholding</w:t>
      </w:r>
      <w:r w:rsidR="00A95039">
        <w:fldChar w:fldCharType="begin"/>
      </w:r>
      <w:r w:rsidR="00293611">
        <w:instrText xml:space="preserve"> XE "</w:instrText>
      </w:r>
      <w:r w:rsidR="00293611" w:rsidRPr="00CD56BD">
        <w:rPr>
          <w:szCs w:val="22"/>
        </w:rPr>
        <w:instrText>mandatory withholding</w:instrText>
      </w:r>
      <w:r w:rsidR="00293611">
        <w:instrText xml:space="preserve">" </w:instrText>
      </w:r>
      <w:r w:rsidR="00A95039">
        <w:fldChar w:fldCharType="end"/>
      </w:r>
      <w:r>
        <w:t>?</w:t>
      </w:r>
    </w:p>
    <w:p w14:paraId="1E31C838" w14:textId="77777777" w:rsidR="00906E7D" w:rsidRDefault="00906E7D" w:rsidP="007A5E54">
      <w:pPr>
        <w:numPr>
          <w:ilvl w:val="0"/>
          <w:numId w:val="60"/>
        </w:numPr>
        <w:spacing w:before="120"/>
      </w:pPr>
      <w:r>
        <w:t>$0</w:t>
      </w:r>
    </w:p>
    <w:p w14:paraId="76DAD40C" w14:textId="77777777" w:rsidR="00906E7D" w:rsidRDefault="00906E7D" w:rsidP="007A5E54">
      <w:pPr>
        <w:numPr>
          <w:ilvl w:val="0"/>
          <w:numId w:val="60"/>
        </w:numPr>
        <w:spacing w:before="120"/>
      </w:pPr>
      <w:r>
        <w:t>$20,000</w:t>
      </w:r>
    </w:p>
    <w:p w14:paraId="4405CA0B" w14:textId="77777777" w:rsidR="00906E7D" w:rsidRDefault="00906E7D" w:rsidP="007A5E54">
      <w:pPr>
        <w:numPr>
          <w:ilvl w:val="0"/>
          <w:numId w:val="60"/>
        </w:numPr>
        <w:spacing w:before="120"/>
      </w:pPr>
      <w:r>
        <w:t>$16,000</w:t>
      </w:r>
    </w:p>
    <w:p w14:paraId="2D24E13D" w14:textId="77777777" w:rsidR="00906E7D" w:rsidRDefault="00906E7D" w:rsidP="007A5E54">
      <w:pPr>
        <w:numPr>
          <w:ilvl w:val="0"/>
          <w:numId w:val="60"/>
        </w:numPr>
        <w:spacing w:before="120"/>
      </w:pPr>
      <w:r>
        <w:t>$4,000</w:t>
      </w:r>
    </w:p>
    <w:p w14:paraId="7AE1A172" w14:textId="77777777" w:rsidR="00906E7D" w:rsidRDefault="00906E7D" w:rsidP="00906E7D">
      <w:pPr>
        <w:ind w:left="330" w:hanging="330"/>
      </w:pPr>
      <w:r>
        <w:t>2.   Peter, age 47, was terminated from his employer’s service. At the time of his termination, his vested account balance in his employer’s qualified plan was $200,000. He received a check from the plan trustee fully distributing the available funds, which he immediately rolled over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Assuming Peter is in a 25% tax bracket and does not make up any funds withheld by the trustee, what is his income tax liability resulting solely from the rolled over distribution?</w:t>
      </w:r>
    </w:p>
    <w:p w14:paraId="3CFB8CC6" w14:textId="77777777" w:rsidR="00906E7D" w:rsidRDefault="00906E7D" w:rsidP="007A5E54">
      <w:pPr>
        <w:numPr>
          <w:ilvl w:val="0"/>
          <w:numId w:val="62"/>
        </w:numPr>
        <w:spacing w:before="120"/>
      </w:pPr>
      <w:r>
        <w:t>$0</w:t>
      </w:r>
    </w:p>
    <w:p w14:paraId="1954533C" w14:textId="77777777" w:rsidR="00906E7D" w:rsidRDefault="00906E7D" w:rsidP="007A5E54">
      <w:pPr>
        <w:numPr>
          <w:ilvl w:val="0"/>
          <w:numId w:val="62"/>
        </w:numPr>
        <w:spacing w:before="120"/>
      </w:pPr>
      <w:r>
        <w:t>$10,000</w:t>
      </w:r>
    </w:p>
    <w:p w14:paraId="5309ED54" w14:textId="77777777" w:rsidR="00906E7D" w:rsidRDefault="00906E7D" w:rsidP="007A5E54">
      <w:pPr>
        <w:numPr>
          <w:ilvl w:val="0"/>
          <w:numId w:val="62"/>
        </w:numPr>
        <w:spacing w:before="120"/>
      </w:pPr>
      <w:r>
        <w:t>$14,000</w:t>
      </w:r>
    </w:p>
    <w:p w14:paraId="3EE282C3" w14:textId="77777777" w:rsidR="00906E7D" w:rsidRDefault="00906E7D" w:rsidP="007A5E54">
      <w:pPr>
        <w:numPr>
          <w:ilvl w:val="0"/>
          <w:numId w:val="62"/>
        </w:numPr>
        <w:spacing w:before="120"/>
      </w:pPr>
      <w:r>
        <w:t xml:space="preserve"> $4,000</w:t>
      </w:r>
    </w:p>
    <w:p w14:paraId="12BF451D" w14:textId="77777777" w:rsidR="00906E7D" w:rsidRDefault="00906E7D" w:rsidP="00906E7D">
      <w:pPr>
        <w:ind w:left="360" w:hanging="360"/>
      </w:pPr>
      <w:r>
        <w:t xml:space="preserve">3.   Edna was a long-term employee whose vested account balance in her employer’s retirement plan at the time of her separation from service is $200,000, which is comprised of $100,000 in pre-tax contributions, $20,000 in after-tax contributions and $80,000 in earnings. She wants to roll over </w:t>
      </w:r>
      <w:r>
        <w:lastRenderedPageBreak/>
        <w:t>as much as possible into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What is the maximum amount that may be rolled over?</w:t>
      </w:r>
    </w:p>
    <w:p w14:paraId="4ECB2DF2" w14:textId="77777777" w:rsidR="00906E7D" w:rsidRDefault="00906E7D" w:rsidP="007A5E54">
      <w:pPr>
        <w:numPr>
          <w:ilvl w:val="0"/>
          <w:numId w:val="64"/>
        </w:numPr>
        <w:spacing w:before="120"/>
      </w:pPr>
      <w:r>
        <w:t>$180,000</w:t>
      </w:r>
    </w:p>
    <w:p w14:paraId="63AE7088" w14:textId="77777777" w:rsidR="00906E7D" w:rsidRDefault="00906E7D" w:rsidP="007A5E54">
      <w:pPr>
        <w:numPr>
          <w:ilvl w:val="0"/>
          <w:numId w:val="64"/>
        </w:numPr>
        <w:spacing w:before="120"/>
      </w:pPr>
      <w:r>
        <w:t>$200,000</w:t>
      </w:r>
    </w:p>
    <w:p w14:paraId="36200685" w14:textId="77777777" w:rsidR="00906E7D" w:rsidRDefault="00906E7D" w:rsidP="007A5E54">
      <w:pPr>
        <w:numPr>
          <w:ilvl w:val="0"/>
          <w:numId w:val="64"/>
        </w:numPr>
        <w:spacing w:before="120"/>
      </w:pPr>
      <w:r>
        <w:t>$100,000</w:t>
      </w:r>
    </w:p>
    <w:p w14:paraId="05A6F27D" w14:textId="77777777" w:rsidR="00906E7D" w:rsidRDefault="00906E7D" w:rsidP="007A5E54">
      <w:pPr>
        <w:numPr>
          <w:ilvl w:val="0"/>
          <w:numId w:val="64"/>
        </w:numPr>
        <w:spacing w:before="120"/>
      </w:pPr>
      <w:r>
        <w:t xml:space="preserve">$20,000 </w:t>
      </w:r>
    </w:p>
    <w:p w14:paraId="70B1548A" w14:textId="77777777" w:rsidR="006D2357" w:rsidRPr="00DC4341" w:rsidRDefault="006D2357" w:rsidP="00D672AA">
      <w:pPr>
        <w:pStyle w:val="Heading2"/>
      </w:pPr>
      <w:bookmarkStart w:id="43" w:name="_Toc48025255"/>
      <w:bookmarkStart w:id="44" w:name="_Toc404357159"/>
      <w:r w:rsidRPr="00DC4341">
        <w:t>Distribution</w:t>
      </w:r>
      <w:bookmarkEnd w:id="43"/>
      <w:bookmarkEnd w:id="44"/>
    </w:p>
    <w:p w14:paraId="5E0515A3" w14:textId="77777777" w:rsidR="00F4423B" w:rsidRDefault="00434CE0" w:rsidP="00F4423B">
      <w:r w:rsidRPr="000B485C">
        <w:rPr>
          <w:szCs w:val="22"/>
        </w:rPr>
        <w:t xml:space="preserve">The final piece of the </w:t>
      </w:r>
      <w:r w:rsidR="006D2357">
        <w:rPr>
          <w:szCs w:val="22"/>
        </w:rPr>
        <w:t>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6D2357">
        <w:rPr>
          <w:szCs w:val="22"/>
        </w:rPr>
        <w:t xml:space="preserve"> </w:t>
      </w:r>
      <w:r w:rsidRPr="000B485C">
        <w:rPr>
          <w:szCs w:val="22"/>
        </w:rPr>
        <w:t xml:space="preserve">tax puzzle involves </w:t>
      </w:r>
      <w:r w:rsidR="006D2357">
        <w:rPr>
          <w:szCs w:val="22"/>
        </w:rPr>
        <w:t xml:space="preserve">the tax treatment given </w:t>
      </w:r>
      <w:r w:rsidR="00B91ABC">
        <w:rPr>
          <w:szCs w:val="22"/>
        </w:rPr>
        <w:t>to</w:t>
      </w:r>
      <w:r w:rsidRPr="000B485C">
        <w:rPr>
          <w:szCs w:val="22"/>
        </w:rPr>
        <w:t xml:space="preserve"> distribution</w:t>
      </w:r>
      <w:r w:rsidR="00B91ABC">
        <w:rPr>
          <w:szCs w:val="22"/>
        </w:rPr>
        <w:t>s from a traditional IRA</w:t>
      </w:r>
      <w:r w:rsidRPr="000B485C">
        <w:rPr>
          <w:szCs w:val="22"/>
        </w:rPr>
        <w:t>.</w:t>
      </w:r>
      <w:r w:rsidR="00297ACB">
        <w:rPr>
          <w:szCs w:val="22"/>
        </w:rPr>
        <w:t xml:space="preserve"> </w:t>
      </w:r>
      <w:r w:rsidRPr="000B485C">
        <w:rPr>
          <w:szCs w:val="22"/>
        </w:rPr>
        <w:t>Let’s focus our attention on that now.</w:t>
      </w:r>
      <w:r w:rsidR="00F4423B">
        <w:rPr>
          <w:szCs w:val="22"/>
        </w:rPr>
        <w:t xml:space="preserve"> </w:t>
      </w:r>
      <w:r w:rsidR="00F4423B">
        <w:t xml:space="preserve">It is helpful to keep the following principle in mind: because IRAs are intended to serve as retirement accumulation vehicles, the tax laws are designed to: </w:t>
      </w:r>
    </w:p>
    <w:p w14:paraId="041BF073" w14:textId="77777777" w:rsidR="00F4423B" w:rsidRPr="00B1552C" w:rsidRDefault="00F4423B" w:rsidP="00F4423B">
      <w:pPr>
        <w:numPr>
          <w:ilvl w:val="0"/>
          <w:numId w:val="146"/>
        </w:numPr>
      </w:pPr>
      <w:r w:rsidRPr="00B1552C">
        <w:t>discourage early distributions</w:t>
      </w:r>
      <w:r>
        <w:t>; and</w:t>
      </w:r>
    </w:p>
    <w:p w14:paraId="3EE42446" w14:textId="77777777" w:rsidR="00DD394F" w:rsidRDefault="00F4423B" w:rsidP="00DD394F">
      <w:pPr>
        <w:pStyle w:val="ListParagraph"/>
        <w:numPr>
          <w:ilvl w:val="0"/>
          <w:numId w:val="146"/>
        </w:numPr>
        <w:rPr>
          <w:szCs w:val="22"/>
        </w:rPr>
      </w:pPr>
      <w:r w:rsidRPr="00B1552C">
        <w:t>require that distributions begin (and thus, be subject to tax) by a certain age.</w:t>
      </w:r>
    </w:p>
    <w:p w14:paraId="5150699F" w14:textId="77777777" w:rsidR="00B81083" w:rsidRDefault="00B81083" w:rsidP="00B81083">
      <w:pPr>
        <w:pStyle w:val="Heading3"/>
      </w:pPr>
      <w:bookmarkStart w:id="45" w:name="_Toc404357160"/>
      <w:r>
        <w:t>Premature Distributions</w:t>
      </w:r>
      <w:bookmarkEnd w:id="45"/>
    </w:p>
    <w:p w14:paraId="14F0CA96" w14:textId="77777777" w:rsidR="00434CE0" w:rsidRDefault="006D2357" w:rsidP="00825E0B">
      <w:pPr>
        <w:rPr>
          <w:szCs w:val="22"/>
        </w:rPr>
      </w:pPr>
      <w:r>
        <w:rPr>
          <w:szCs w:val="22"/>
        </w:rPr>
        <w:t>In order to ensure that traditional IRAs are used for the purpose they were designed—specifically to accumulate retirement savings—Congress imposed a limitation on their liquidity by specifying a penalty for premature distributions</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Pr>
          <w:szCs w:val="22"/>
        </w:rPr>
        <w:t>.</w:t>
      </w:r>
      <w:r w:rsidR="00297ACB">
        <w:rPr>
          <w:szCs w:val="22"/>
        </w:rPr>
        <w:t xml:space="preserve"> </w:t>
      </w:r>
      <w:r w:rsidR="000461A8">
        <w:t>Although there are certain exceptions</w:t>
      </w:r>
      <w:r w:rsidR="000461A8" w:rsidRPr="000B485C">
        <w:t xml:space="preserve">, </w:t>
      </w:r>
      <w:r w:rsidR="000461A8">
        <w:t xml:space="preserve">the general rule is that </w:t>
      </w:r>
      <w:r w:rsidR="00434CE0" w:rsidRPr="000B485C">
        <w:rPr>
          <w:szCs w:val="22"/>
        </w:rPr>
        <w:t>the individual must be at least age 59</w:t>
      </w:r>
      <w:r w:rsidR="00556E16">
        <w:rPr>
          <w:szCs w:val="22"/>
        </w:rPr>
        <w:t>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sidR="00434CE0" w:rsidRPr="000B485C">
        <w:rPr>
          <w:szCs w:val="22"/>
        </w:rPr>
        <w:t xml:space="preserve"> before receiving a distribution from a traditional IRA</w:t>
      </w:r>
      <w:r w:rsidR="000461A8" w:rsidRPr="000461A8">
        <w:t xml:space="preserve"> </w:t>
      </w:r>
      <w:r w:rsidR="000461A8">
        <w:t xml:space="preserve">in order </w:t>
      </w:r>
      <w:r w:rsidR="000461A8" w:rsidRPr="000B485C">
        <w:t xml:space="preserve">to avoid a premature </w:t>
      </w:r>
      <w:r w:rsidR="000461A8">
        <w:t>distribution</w:t>
      </w:r>
      <w:r w:rsidR="000461A8" w:rsidRPr="000B485C">
        <w:t xml:space="preserve"> penalty</w:t>
      </w:r>
      <w:r w:rsidR="000461A8">
        <w:rPr>
          <w:szCs w:val="22"/>
        </w:rPr>
        <w:t xml:space="preserve"> </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w:t>
      </w:r>
    </w:p>
    <w:p w14:paraId="74989D74" w14:textId="77777777" w:rsidR="00434CE0" w:rsidRPr="000B485C" w:rsidRDefault="006D2357" w:rsidP="00825E0B">
      <w:pPr>
        <w:rPr>
          <w:szCs w:val="22"/>
        </w:rPr>
      </w:pPr>
      <w:r>
        <w:rPr>
          <w:szCs w:val="22"/>
        </w:rPr>
        <w:t>T</w:t>
      </w:r>
      <w:r w:rsidR="00434CE0" w:rsidRPr="000B485C">
        <w:rPr>
          <w:szCs w:val="22"/>
        </w:rPr>
        <w:t xml:space="preserve">he </w:t>
      </w:r>
      <w:r>
        <w:rPr>
          <w:szCs w:val="22"/>
        </w:rPr>
        <w:t xml:space="preserve">premature distribution </w:t>
      </w:r>
      <w:r w:rsidR="00434CE0" w:rsidRPr="000B485C">
        <w:rPr>
          <w:szCs w:val="22"/>
        </w:rPr>
        <w:t>penalty</w:t>
      </w:r>
      <w:r w:rsidR="00A95039">
        <w:rPr>
          <w:szCs w:val="22"/>
        </w:rPr>
        <w:fldChar w:fldCharType="begin"/>
      </w:r>
      <w:r w:rsidR="00293611">
        <w:instrText xml:space="preserve"> XE "</w:instrText>
      </w:r>
      <w:r w:rsidR="00293611" w:rsidRPr="00CD56BD">
        <w:rPr>
          <w:szCs w:val="22"/>
        </w:rPr>
        <w:instrText>premature distribution penalty</w:instrText>
      </w:r>
      <w:r w:rsidR="00293611">
        <w:instrText xml:space="preserve">" </w:instrText>
      </w:r>
      <w:r w:rsidR="00A95039">
        <w:rPr>
          <w:szCs w:val="22"/>
        </w:rPr>
        <w:fldChar w:fldCharType="end"/>
      </w:r>
      <w:r w:rsidR="00434CE0" w:rsidRPr="000B485C">
        <w:rPr>
          <w:szCs w:val="22"/>
        </w:rPr>
        <w:t xml:space="preserve"> is 10 percent of the amount of the distribution that is includible in the individual’s gross income.</w:t>
      </w:r>
      <w:r w:rsidR="00297ACB">
        <w:rPr>
          <w:szCs w:val="22"/>
        </w:rPr>
        <w:t xml:space="preserve"> </w:t>
      </w:r>
      <w:r>
        <w:rPr>
          <w:szCs w:val="22"/>
        </w:rPr>
        <w:t>In many cases, the amount of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distribution that would be includible in the individual’s gross income is the total amount of the distribution.</w:t>
      </w:r>
      <w:r w:rsidR="00297ACB">
        <w:rPr>
          <w:szCs w:val="22"/>
        </w:rPr>
        <w:t xml:space="preserve"> </w:t>
      </w:r>
      <w:r w:rsidR="000B01EE">
        <w:rPr>
          <w:szCs w:val="22"/>
        </w:rPr>
        <w:t>However, there may be parts of a distribution that are not</w:t>
      </w:r>
      <w:r w:rsidR="00A0422B">
        <w:rPr>
          <w:szCs w:val="22"/>
        </w:rPr>
        <w:t xml:space="preserve"> includible</w:t>
      </w:r>
      <w:r w:rsidR="000B01EE">
        <w:rPr>
          <w:szCs w:val="22"/>
        </w:rPr>
        <w:t>.</w:t>
      </w:r>
      <w:r w:rsidR="00297ACB">
        <w:rPr>
          <w:szCs w:val="22"/>
        </w:rPr>
        <w:t xml:space="preserve"> </w:t>
      </w:r>
      <w:r w:rsidR="00434CE0" w:rsidRPr="000B485C">
        <w:rPr>
          <w:szCs w:val="22"/>
        </w:rPr>
        <w:t xml:space="preserve">In a traditional IRA, </w:t>
      </w:r>
      <w:r w:rsidR="000B01EE">
        <w:rPr>
          <w:szCs w:val="22"/>
        </w:rPr>
        <w:t>a</w:t>
      </w:r>
      <w:r w:rsidR="00434CE0" w:rsidRPr="000B485C">
        <w:rPr>
          <w:szCs w:val="22"/>
        </w:rPr>
        <w:t xml:space="preserve"> distribution that would</w:t>
      </w:r>
      <w:r w:rsidR="000B01EE">
        <w:rPr>
          <w:szCs w:val="22"/>
        </w:rPr>
        <w:t xml:space="preserve"> </w:t>
      </w:r>
      <w:r w:rsidR="00434CE0" w:rsidRPr="000B485C">
        <w:rPr>
          <w:szCs w:val="22"/>
        </w:rPr>
        <w:t>n</w:t>
      </w:r>
      <w:r w:rsidR="000B01EE">
        <w:rPr>
          <w:szCs w:val="22"/>
        </w:rPr>
        <w:t>o</w:t>
      </w:r>
      <w:r w:rsidR="00434CE0" w:rsidRPr="000B485C">
        <w:rPr>
          <w:szCs w:val="22"/>
        </w:rPr>
        <w:t>t be includible in the individual’s gross income</w:t>
      </w:r>
      <w:r w:rsidR="000B01EE">
        <w:rPr>
          <w:szCs w:val="22"/>
        </w:rPr>
        <w:t xml:space="preserve"> is the </w:t>
      </w:r>
      <w:r w:rsidR="00434CE0" w:rsidRPr="000B485C">
        <w:rPr>
          <w:szCs w:val="22"/>
        </w:rPr>
        <w:t>distribution of a non-deductible contribution</w:t>
      </w:r>
      <w:r w:rsidR="004C7995">
        <w:rPr>
          <w:szCs w:val="22"/>
        </w:rPr>
        <w:t>.</w:t>
      </w:r>
    </w:p>
    <w:p w14:paraId="1DDD577D" w14:textId="77777777" w:rsidR="007D6EBF" w:rsidRDefault="007D6EBF" w:rsidP="007D6EBF">
      <w:pPr>
        <w:pStyle w:val="Heading4"/>
      </w:pPr>
      <w:bookmarkStart w:id="46" w:name="_Toc404357161"/>
      <w:r>
        <w:t>Premature Distributions Avoiding Tax Penalty</w:t>
      </w:r>
      <w:bookmarkEnd w:id="46"/>
    </w:p>
    <w:p w14:paraId="4F722310" w14:textId="77777777" w:rsidR="00434CE0" w:rsidRPr="000B485C" w:rsidRDefault="00434CE0" w:rsidP="00825E0B">
      <w:pPr>
        <w:rPr>
          <w:i/>
          <w:szCs w:val="22"/>
        </w:rPr>
      </w:pPr>
      <w:r w:rsidRPr="000B485C">
        <w:rPr>
          <w:szCs w:val="22"/>
        </w:rPr>
        <w:t>There are certain premature distributions</w:t>
      </w:r>
      <w:r w:rsidR="0060099D">
        <w:rPr>
          <w:szCs w:val="22"/>
        </w:rPr>
        <w:t>—distributions made before the owner reaches age 59½—</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sidRPr="000B485C">
        <w:rPr>
          <w:szCs w:val="22"/>
        </w:rPr>
        <w:t xml:space="preserve"> to which the 10 percent penalty tax doesn’t apply.</w:t>
      </w:r>
      <w:r w:rsidR="00297ACB">
        <w:rPr>
          <w:szCs w:val="22"/>
        </w:rPr>
        <w:t xml:space="preserve"> </w:t>
      </w:r>
      <w:r w:rsidR="000B01EE">
        <w:rPr>
          <w:szCs w:val="22"/>
        </w:rPr>
        <w:t>Those distributions include distributions:</w:t>
      </w:r>
    </w:p>
    <w:p w14:paraId="68B7EFAE" w14:textId="77777777" w:rsidR="00434CE0" w:rsidRPr="00AF2193" w:rsidRDefault="000B01EE" w:rsidP="007A5E54">
      <w:pPr>
        <w:pStyle w:val="ListParagraph"/>
        <w:numPr>
          <w:ilvl w:val="0"/>
          <w:numId w:val="119"/>
        </w:numPr>
        <w:ind w:left="720"/>
      </w:pPr>
      <w:r w:rsidRPr="00AF2193">
        <w:t>M</w:t>
      </w:r>
      <w:r w:rsidR="00434CE0" w:rsidRPr="00AF2193">
        <w:t>ade at the individual’s death</w:t>
      </w:r>
      <w:r w:rsidR="00C06FCB">
        <w:t>;</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p>
    <w:p w14:paraId="7372E25D" w14:textId="77777777" w:rsidR="00434CE0" w:rsidRPr="00AF2193" w:rsidRDefault="000B01EE" w:rsidP="007A5E54">
      <w:pPr>
        <w:pStyle w:val="ListParagraph"/>
        <w:numPr>
          <w:ilvl w:val="0"/>
          <w:numId w:val="119"/>
        </w:numPr>
        <w:ind w:left="720"/>
      </w:pPr>
      <w:r w:rsidRPr="00AF2193">
        <w:t>A</w:t>
      </w:r>
      <w:r w:rsidR="00434CE0" w:rsidRPr="00AF2193">
        <w:t>ttributable to the individual’s disability</w:t>
      </w:r>
      <w:r w:rsidR="00A95039">
        <w:fldChar w:fldCharType="begin"/>
      </w:r>
      <w:r w:rsidR="00293611">
        <w:instrText xml:space="preserve"> XE "</w:instrText>
      </w:r>
      <w:r w:rsidR="00293611" w:rsidRPr="00CD56BD">
        <w:instrText>disability</w:instrText>
      </w:r>
      <w:r w:rsidR="00293611">
        <w:instrText xml:space="preserve">" </w:instrText>
      </w:r>
      <w:r w:rsidR="00A95039">
        <w:fldChar w:fldCharType="end"/>
      </w:r>
      <w:r w:rsidR="00C06FCB">
        <w:t>;</w:t>
      </w:r>
    </w:p>
    <w:p w14:paraId="1963092A" w14:textId="77777777" w:rsidR="00434CE0" w:rsidRPr="00AF2193" w:rsidRDefault="000B01EE" w:rsidP="007A5E54">
      <w:pPr>
        <w:pStyle w:val="ListParagraph"/>
        <w:numPr>
          <w:ilvl w:val="0"/>
          <w:numId w:val="119"/>
        </w:numPr>
        <w:ind w:left="720"/>
      </w:pPr>
      <w:r w:rsidRPr="00AF2193">
        <w:t>M</w:t>
      </w:r>
      <w:r w:rsidR="00434CE0" w:rsidRPr="00AF2193">
        <w:t>ade for medical care</w:t>
      </w:r>
      <w:r w:rsidR="00A95039">
        <w:fldChar w:fldCharType="begin"/>
      </w:r>
      <w:r w:rsidR="00293611">
        <w:instrText xml:space="preserve"> XE "</w:instrText>
      </w:r>
      <w:r w:rsidR="00293611" w:rsidRPr="00CD56BD">
        <w:instrText>medical care</w:instrText>
      </w:r>
      <w:r w:rsidR="00293611">
        <w:instrText xml:space="preserve">" </w:instrText>
      </w:r>
      <w:r w:rsidR="00A95039">
        <w:fldChar w:fldCharType="end"/>
      </w:r>
      <w:r w:rsidR="00434CE0" w:rsidRPr="00AF2193">
        <w:t xml:space="preserve"> to the extent allowable as a medical expense deduction</w:t>
      </w:r>
      <w:r w:rsidR="00C06FCB">
        <w:t>;</w:t>
      </w:r>
    </w:p>
    <w:p w14:paraId="07636202" w14:textId="77777777" w:rsidR="00434CE0" w:rsidRPr="00AF2193" w:rsidRDefault="000B01EE" w:rsidP="007A5E54">
      <w:pPr>
        <w:pStyle w:val="ListParagraph"/>
        <w:numPr>
          <w:ilvl w:val="0"/>
          <w:numId w:val="119"/>
        </w:numPr>
        <w:ind w:left="720"/>
      </w:pPr>
      <w:r w:rsidRPr="00AF2193">
        <w:t>M</w:t>
      </w:r>
      <w:r w:rsidR="00434CE0" w:rsidRPr="00AF2193">
        <w:t>ade for the payment of health insurance premiums</w:t>
      </w:r>
      <w:r w:rsidR="00A95039">
        <w:fldChar w:fldCharType="begin"/>
      </w:r>
      <w:r w:rsidR="00293611">
        <w:instrText xml:space="preserve"> XE "</w:instrText>
      </w:r>
      <w:r w:rsidR="00293611" w:rsidRPr="00CD56BD">
        <w:instrText>health insurance premiums</w:instrText>
      </w:r>
      <w:r w:rsidR="00293611">
        <w:instrText xml:space="preserve">" </w:instrText>
      </w:r>
      <w:r w:rsidR="00A95039">
        <w:fldChar w:fldCharType="end"/>
      </w:r>
      <w:r w:rsidR="00434CE0" w:rsidRPr="00AF2193">
        <w:t xml:space="preserve"> by unemployed individuals</w:t>
      </w:r>
      <w:r w:rsidR="00C06FCB">
        <w:t>;</w:t>
      </w:r>
    </w:p>
    <w:p w14:paraId="0AB3A0BA" w14:textId="77777777" w:rsidR="00434CE0" w:rsidRPr="00AF2193" w:rsidRDefault="000B01EE" w:rsidP="007A5E54">
      <w:pPr>
        <w:pStyle w:val="ListParagraph"/>
        <w:numPr>
          <w:ilvl w:val="0"/>
          <w:numId w:val="119"/>
        </w:numPr>
        <w:ind w:left="720"/>
      </w:pPr>
      <w:r w:rsidRPr="00AF2193">
        <w:t>M</w:t>
      </w:r>
      <w:r w:rsidR="00434CE0" w:rsidRPr="00AF2193">
        <w:t>ade to pay qualified higher education expenses</w:t>
      </w:r>
      <w:r w:rsidR="00A95039">
        <w:fldChar w:fldCharType="begin"/>
      </w:r>
      <w:r w:rsidR="00293611">
        <w:instrText xml:space="preserve"> XE "</w:instrText>
      </w:r>
      <w:r w:rsidR="00293611" w:rsidRPr="00CD56BD">
        <w:instrText>qualified higher education expenses</w:instrText>
      </w:r>
      <w:r w:rsidR="00293611">
        <w:instrText xml:space="preserve">" </w:instrText>
      </w:r>
      <w:r w:rsidR="00A95039">
        <w:fldChar w:fldCharType="end"/>
      </w:r>
      <w:r w:rsidR="00434CE0" w:rsidRPr="00AF2193">
        <w:t xml:space="preserve"> for the individual, his or her spouse, child or grandchild</w:t>
      </w:r>
      <w:r w:rsidR="00C06FCB">
        <w:t>;</w:t>
      </w:r>
    </w:p>
    <w:p w14:paraId="2829A350" w14:textId="77777777" w:rsidR="00434CE0" w:rsidRPr="00AF2193" w:rsidRDefault="000B01EE" w:rsidP="007A5E54">
      <w:pPr>
        <w:pStyle w:val="ListParagraph"/>
        <w:numPr>
          <w:ilvl w:val="0"/>
          <w:numId w:val="119"/>
        </w:numPr>
        <w:ind w:left="720"/>
      </w:pPr>
      <w:r w:rsidRPr="00AF2193">
        <w:t>C</w:t>
      </w:r>
      <w:r w:rsidR="00434CE0" w:rsidRPr="00AF2193">
        <w:t xml:space="preserve">onsidered </w:t>
      </w:r>
      <w:r w:rsidR="00297ACB" w:rsidRPr="00AF2193">
        <w:t>“</w:t>
      </w:r>
      <w:r w:rsidR="00434CE0" w:rsidRPr="00AF2193">
        <w:t>first-time homebuyer distributions</w:t>
      </w:r>
      <w:r w:rsidR="00A95039">
        <w:fldChar w:fldCharType="begin"/>
      </w:r>
      <w:r w:rsidR="00293611">
        <w:instrText xml:space="preserve"> XE "</w:instrText>
      </w:r>
      <w:r w:rsidR="00293611" w:rsidRPr="00CD56BD">
        <w:instrText>first-time homebuyer distributions</w:instrText>
      </w:r>
      <w:r w:rsidR="00293611">
        <w:instrText xml:space="preserve">" </w:instrText>
      </w:r>
      <w:r w:rsidR="00A95039">
        <w:fldChar w:fldCharType="end"/>
      </w:r>
      <w:r w:rsidR="00297ACB" w:rsidRPr="00AF2193">
        <w:t>”</w:t>
      </w:r>
      <w:r w:rsidR="00434CE0" w:rsidRPr="00AF2193">
        <w:t xml:space="preserve"> up to a lifetime maximum of $10,000</w:t>
      </w:r>
      <w:r w:rsidR="00C06FCB">
        <w:t>; or</w:t>
      </w:r>
    </w:p>
    <w:p w14:paraId="606B0030" w14:textId="77777777" w:rsidR="00434CE0" w:rsidRPr="00AF2193" w:rsidRDefault="000B01EE" w:rsidP="007A5E54">
      <w:pPr>
        <w:pStyle w:val="ListParagraph"/>
        <w:numPr>
          <w:ilvl w:val="0"/>
          <w:numId w:val="119"/>
        </w:numPr>
        <w:ind w:left="720"/>
      </w:pPr>
      <w:r w:rsidRPr="00AF2193">
        <w:t>That</w:t>
      </w:r>
      <w:r w:rsidR="00434CE0" w:rsidRPr="00AF2193">
        <w:t xml:space="preserve"> are part of a series of substantially equal periodic payment</w:t>
      </w:r>
      <w:r w:rsidR="005E0523" w:rsidRPr="00AF2193">
        <w:t>s</w:t>
      </w:r>
      <w:r w:rsidR="00A95039">
        <w:fldChar w:fldCharType="begin"/>
      </w:r>
      <w:r w:rsidR="00293611">
        <w:instrText xml:space="preserve"> XE "</w:instrText>
      </w:r>
      <w:r w:rsidR="00293611" w:rsidRPr="00CD56BD">
        <w:instrText>series of substantially equal periodic payments</w:instrText>
      </w:r>
      <w:r w:rsidR="00293611">
        <w:instrText xml:space="preserve">" </w:instrText>
      </w:r>
      <w:r w:rsidR="00A95039">
        <w:fldChar w:fldCharType="end"/>
      </w:r>
      <w:r w:rsidR="00434CE0" w:rsidRPr="00AF2193">
        <w:t xml:space="preserve"> made for the life of the individual or the joint lives of the individual and his or her beneficiary</w:t>
      </w:r>
    </w:p>
    <w:p w14:paraId="03F32043" w14:textId="77777777" w:rsidR="00434CE0" w:rsidRPr="000B485C" w:rsidRDefault="000461A8" w:rsidP="00825E0B">
      <w:pPr>
        <w:rPr>
          <w:i/>
          <w:szCs w:val="22"/>
        </w:rPr>
      </w:pPr>
      <w:r>
        <w:t>In addition to any applicable premature distribution tax penalty</w:t>
      </w:r>
      <w:r w:rsidR="00434CE0" w:rsidRPr="000B485C">
        <w:rPr>
          <w:szCs w:val="22"/>
        </w:rPr>
        <w:t xml:space="preserve">, distributions </w:t>
      </w:r>
      <w:r w:rsidR="00242185">
        <w:rPr>
          <w:szCs w:val="22"/>
        </w:rPr>
        <w:t xml:space="preserve">from a traditional IRA are </w:t>
      </w:r>
      <w:r w:rsidR="00434CE0" w:rsidRPr="000B485C">
        <w:rPr>
          <w:szCs w:val="22"/>
        </w:rPr>
        <w:t>taxed</w:t>
      </w:r>
      <w:r w:rsidR="00242185">
        <w:rPr>
          <w:szCs w:val="22"/>
        </w:rPr>
        <w:t xml:space="preserve"> as follows:</w:t>
      </w:r>
    </w:p>
    <w:p w14:paraId="21295041" w14:textId="77777777" w:rsidR="00242185" w:rsidRPr="00AF2193" w:rsidRDefault="00434CE0" w:rsidP="007A5E54">
      <w:pPr>
        <w:pStyle w:val="ListParagraph"/>
        <w:numPr>
          <w:ilvl w:val="0"/>
          <w:numId w:val="120"/>
        </w:numPr>
        <w:ind w:left="720"/>
      </w:pPr>
      <w:r w:rsidRPr="00AF2193">
        <w:lastRenderedPageBreak/>
        <w:t xml:space="preserve">Deductible contributions and </w:t>
      </w:r>
      <w:r w:rsidR="000461A8">
        <w:t xml:space="preserve">all </w:t>
      </w:r>
      <w:r w:rsidRPr="00AF2193">
        <w:t>earnings are taxed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00AF2193" w:rsidRPr="00AF2193">
        <w:t xml:space="preserve">, </w:t>
      </w:r>
      <w:r w:rsidR="00242185" w:rsidRPr="00AF2193">
        <w:t>and</w:t>
      </w:r>
    </w:p>
    <w:p w14:paraId="48F8A401" w14:textId="77777777" w:rsidR="00434CE0" w:rsidRPr="00AF2193" w:rsidRDefault="00434CE0" w:rsidP="007A5E54">
      <w:pPr>
        <w:pStyle w:val="ListParagraph"/>
        <w:numPr>
          <w:ilvl w:val="0"/>
          <w:numId w:val="120"/>
        </w:numPr>
        <w:ind w:left="720"/>
      </w:pPr>
      <w:r w:rsidRPr="00AF2193">
        <w:t>Non-deductible contributions</w:t>
      </w:r>
      <w:r w:rsidR="00A95039">
        <w:fldChar w:fldCharType="begin"/>
      </w:r>
      <w:r w:rsidR="00500F1D">
        <w:instrText xml:space="preserve"> XE "</w:instrText>
      </w:r>
      <w:r w:rsidR="00500F1D" w:rsidRPr="00C06FCB">
        <w:rPr>
          <w:szCs w:val="22"/>
        </w:rPr>
        <w:instrText>Non-deductible IRA contributions</w:instrText>
      </w:r>
      <w:r w:rsidR="00500F1D">
        <w:instrText xml:space="preserve">" </w:instrText>
      </w:r>
      <w:r w:rsidR="00A95039">
        <w:fldChar w:fldCharType="end"/>
      </w:r>
      <w:r w:rsidRPr="00AF2193">
        <w:t xml:space="preserve"> are </w:t>
      </w:r>
      <w:r w:rsidR="0060099D">
        <w:t xml:space="preserve">tax free and distributions in which they are included are </w:t>
      </w:r>
      <w:r w:rsidR="00A607F0" w:rsidRPr="00AF2193">
        <w:t>given annuity rule tax treatment</w:t>
      </w:r>
    </w:p>
    <w:p w14:paraId="05B8A4C4" w14:textId="77777777" w:rsidR="007D6EBF" w:rsidRDefault="007D6EBF" w:rsidP="007D6EBF">
      <w:pPr>
        <w:pStyle w:val="Heading4"/>
      </w:pPr>
      <w:bookmarkStart w:id="47" w:name="_Toc404357162"/>
      <w:r>
        <w:t>Pro-Rata Distribution of Non-Deductible Contributions</w:t>
      </w:r>
      <w:bookmarkEnd w:id="47"/>
    </w:p>
    <w:p w14:paraId="1795A3FC" w14:textId="77777777" w:rsidR="00434CE0" w:rsidRDefault="00434CE0" w:rsidP="007D6EBF">
      <w:pPr>
        <w:rPr>
          <w:szCs w:val="22"/>
        </w:rPr>
      </w:pPr>
      <w:r w:rsidRPr="000B485C">
        <w:rPr>
          <w:szCs w:val="22"/>
        </w:rPr>
        <w:t xml:space="preserve">The </w:t>
      </w:r>
      <w:r w:rsidR="00242185">
        <w:rPr>
          <w:szCs w:val="22"/>
        </w:rPr>
        <w:t>general</w:t>
      </w:r>
      <w:r w:rsidRPr="000B485C">
        <w:rPr>
          <w:szCs w:val="22"/>
        </w:rPr>
        <w:t xml:space="preserve"> rule </w:t>
      </w:r>
      <w:r w:rsidR="00242185">
        <w:rPr>
          <w:szCs w:val="22"/>
        </w:rPr>
        <w:t xml:space="preserve">concerning </w:t>
      </w:r>
      <w:r w:rsidRPr="000B485C">
        <w:rPr>
          <w:szCs w:val="22"/>
        </w:rPr>
        <w:t xml:space="preserve">taxation of </w:t>
      </w:r>
      <w:r w:rsidR="00242185">
        <w:rPr>
          <w:szCs w:val="22"/>
        </w:rPr>
        <w:t>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242185">
        <w:rPr>
          <w:szCs w:val="22"/>
        </w:rPr>
        <w:t xml:space="preserve"> </w:t>
      </w:r>
      <w:r w:rsidRPr="000B485C">
        <w:rPr>
          <w:szCs w:val="22"/>
        </w:rPr>
        <w:t xml:space="preserve">distributions is that if </w:t>
      </w:r>
      <w:r w:rsidR="00242185">
        <w:rPr>
          <w:szCs w:val="22"/>
        </w:rPr>
        <w:t>the funds have</w:t>
      </w:r>
      <w:r w:rsidRPr="000B485C">
        <w:rPr>
          <w:szCs w:val="22"/>
        </w:rPr>
        <w:t xml:space="preserve"> not already been taxed, </w:t>
      </w:r>
      <w:r w:rsidR="00242185">
        <w:rPr>
          <w:szCs w:val="22"/>
        </w:rPr>
        <w:t>they are</w:t>
      </w:r>
      <w:r w:rsidRPr="000B485C">
        <w:rPr>
          <w:szCs w:val="22"/>
        </w:rPr>
        <w:t xml:space="preserve"> taxable</w:t>
      </w:r>
      <w:r w:rsidR="00242185">
        <w:rPr>
          <w:szCs w:val="22"/>
        </w:rPr>
        <w:t>.</w:t>
      </w:r>
      <w:r w:rsidR="007D6EBF">
        <w:rPr>
          <w:szCs w:val="22"/>
        </w:rPr>
        <w:t xml:space="preserve"> Distributed a</w:t>
      </w:r>
      <w:r w:rsidR="00A607F0">
        <w:rPr>
          <w:szCs w:val="22"/>
        </w:rPr>
        <w:t>fter-tax</w:t>
      </w:r>
      <w:r w:rsidRPr="000B485C">
        <w:rPr>
          <w:szCs w:val="22"/>
        </w:rPr>
        <w:t xml:space="preserve"> contributions </w:t>
      </w:r>
      <w:r w:rsidR="007D6EBF">
        <w:rPr>
          <w:szCs w:val="22"/>
        </w:rPr>
        <w:t xml:space="preserve">made to a traditional IRA </w:t>
      </w:r>
      <w:r w:rsidRPr="000B485C">
        <w:rPr>
          <w:szCs w:val="22"/>
        </w:rPr>
        <w:t>are received tax-free as a return of basis</w:t>
      </w:r>
      <w:r w:rsidR="00A95039">
        <w:rPr>
          <w:szCs w:val="22"/>
        </w:rPr>
        <w:fldChar w:fldCharType="begin"/>
      </w:r>
      <w:r w:rsidR="00293611">
        <w:instrText xml:space="preserve"> XE "</w:instrText>
      </w:r>
      <w:r w:rsidR="00293611" w:rsidRPr="00CD56BD">
        <w:rPr>
          <w:szCs w:val="22"/>
        </w:rPr>
        <w:instrText>return of basis</w:instrText>
      </w:r>
      <w:r w:rsidR="00293611">
        <w:instrText xml:space="preserve">" </w:instrText>
      </w:r>
      <w:r w:rsidR="00A95039">
        <w:rPr>
          <w:szCs w:val="22"/>
        </w:rPr>
        <w:fldChar w:fldCharType="end"/>
      </w:r>
      <w:r w:rsidRPr="000B485C">
        <w:rPr>
          <w:szCs w:val="22"/>
        </w:rPr>
        <w:t>, and the remainder is taxable</w:t>
      </w:r>
      <w:r w:rsidR="00A607F0">
        <w:rPr>
          <w:szCs w:val="22"/>
        </w:rPr>
        <w:t>.</w:t>
      </w:r>
      <w:r w:rsidR="00297ACB">
        <w:rPr>
          <w:szCs w:val="22"/>
        </w:rPr>
        <w:t xml:space="preserve"> </w:t>
      </w:r>
      <w:r w:rsidR="00A607F0">
        <w:rPr>
          <w:szCs w:val="22"/>
        </w:rPr>
        <w:t>A</w:t>
      </w:r>
      <w:r w:rsidRPr="000B485C">
        <w:rPr>
          <w:szCs w:val="22"/>
        </w:rPr>
        <w:t xml:space="preserve"> formula is used to determine how much of any distribution should be considered a return of those </w:t>
      </w:r>
      <w:r w:rsidR="00A607F0">
        <w:rPr>
          <w:szCs w:val="22"/>
        </w:rPr>
        <w:t>after-tax</w:t>
      </w:r>
      <w:r w:rsidRPr="000B485C">
        <w:rPr>
          <w:szCs w:val="22"/>
        </w:rPr>
        <w:t xml:space="preserve"> contributions. </w:t>
      </w:r>
      <w:r w:rsidR="00A607F0">
        <w:rPr>
          <w:szCs w:val="22"/>
        </w:rPr>
        <w:t>That formula is:</w:t>
      </w:r>
    </w:p>
    <w:tbl>
      <w:tblPr>
        <w:tblW w:w="0" w:type="auto"/>
        <w:jc w:val="center"/>
        <w:tblLayout w:type="fixed"/>
        <w:tblLook w:val="01E0" w:firstRow="1" w:lastRow="1" w:firstColumn="1" w:lastColumn="1" w:noHBand="0" w:noVBand="0"/>
      </w:tblPr>
      <w:tblGrid>
        <w:gridCol w:w="4726"/>
        <w:gridCol w:w="236"/>
        <w:gridCol w:w="1736"/>
        <w:gridCol w:w="236"/>
        <w:gridCol w:w="1870"/>
      </w:tblGrid>
      <w:tr w:rsidR="00A607F0" w:rsidRPr="006D389B" w14:paraId="1E723A73" w14:textId="77777777" w:rsidTr="006D389B">
        <w:trPr>
          <w:jc w:val="center"/>
        </w:trPr>
        <w:tc>
          <w:tcPr>
            <w:tcW w:w="4726" w:type="dxa"/>
          </w:tcPr>
          <w:p w14:paraId="62C0B789" w14:textId="77777777" w:rsidR="00A607F0" w:rsidRPr="006D389B" w:rsidRDefault="00A607F0" w:rsidP="006D389B">
            <w:pPr>
              <w:pStyle w:val="wTableNormal"/>
              <w:jc w:val="center"/>
              <w:rPr>
                <w:sz w:val="18"/>
                <w:szCs w:val="18"/>
                <w:u w:val="single"/>
              </w:rPr>
            </w:pPr>
            <w:r w:rsidRPr="006D389B">
              <w:rPr>
                <w:sz w:val="18"/>
                <w:szCs w:val="18"/>
                <w:u w:val="single"/>
              </w:rPr>
              <w:t>Unrecovered non-deductible contributions</w:t>
            </w:r>
          </w:p>
          <w:p w14:paraId="164DFD6E" w14:textId="77777777" w:rsidR="00A607F0" w:rsidRPr="006D389B" w:rsidRDefault="00A607F0" w:rsidP="006D389B">
            <w:pPr>
              <w:pStyle w:val="wTableNormal"/>
              <w:spacing w:before="0" w:after="120"/>
              <w:jc w:val="center"/>
              <w:rPr>
                <w:sz w:val="18"/>
                <w:szCs w:val="18"/>
              </w:rPr>
            </w:pPr>
            <w:r w:rsidRPr="006D389B">
              <w:rPr>
                <w:sz w:val="18"/>
                <w:szCs w:val="18"/>
              </w:rPr>
              <w:t xml:space="preserve">Total IRA balance </w:t>
            </w:r>
            <w:r w:rsidR="00556E16" w:rsidRPr="006D389B">
              <w:rPr>
                <w:rFonts w:cs="Arial"/>
                <w:sz w:val="18"/>
                <w:szCs w:val="18"/>
              </w:rPr>
              <w:t>(at year end</w:t>
            </w:r>
            <w:r w:rsidR="000461A8">
              <w:rPr>
                <w:rFonts w:cs="Arial"/>
                <w:szCs w:val="20"/>
              </w:rPr>
              <w:t xml:space="preserve"> of the year of the distribution</w:t>
            </w:r>
            <w:r w:rsidR="00556E16" w:rsidRPr="006D389B">
              <w:rPr>
                <w:rFonts w:cs="Arial"/>
                <w:sz w:val="18"/>
                <w:szCs w:val="18"/>
              </w:rPr>
              <w:t>)</w:t>
            </w:r>
            <w:r w:rsidRPr="006D389B">
              <w:rPr>
                <w:sz w:val="18"/>
                <w:szCs w:val="18"/>
              </w:rPr>
              <w:t>+ Distribution amount</w:t>
            </w:r>
          </w:p>
        </w:tc>
        <w:tc>
          <w:tcPr>
            <w:tcW w:w="236" w:type="dxa"/>
          </w:tcPr>
          <w:p w14:paraId="490025B3" w14:textId="77777777" w:rsidR="00A607F0" w:rsidRPr="006D389B" w:rsidRDefault="00AF2193" w:rsidP="006D389B">
            <w:pPr>
              <w:pStyle w:val="wTableNormal"/>
              <w:spacing w:before="120"/>
              <w:jc w:val="center"/>
              <w:rPr>
                <w:sz w:val="18"/>
                <w:szCs w:val="18"/>
              </w:rPr>
            </w:pPr>
            <w:r w:rsidRPr="006D389B">
              <w:rPr>
                <w:sz w:val="18"/>
                <w:szCs w:val="18"/>
              </w:rPr>
              <w:t>x</w:t>
            </w:r>
          </w:p>
        </w:tc>
        <w:tc>
          <w:tcPr>
            <w:tcW w:w="1736" w:type="dxa"/>
          </w:tcPr>
          <w:p w14:paraId="25B31B78" w14:textId="77777777" w:rsidR="00F87574" w:rsidRPr="006D389B" w:rsidRDefault="00F87574" w:rsidP="006D389B">
            <w:pPr>
              <w:pStyle w:val="wTableNormal"/>
              <w:spacing w:before="120"/>
              <w:jc w:val="center"/>
              <w:rPr>
                <w:sz w:val="18"/>
                <w:szCs w:val="18"/>
              </w:rPr>
            </w:pPr>
            <w:r w:rsidRPr="006D389B">
              <w:rPr>
                <w:sz w:val="18"/>
                <w:szCs w:val="18"/>
              </w:rPr>
              <w:t xml:space="preserve">Distribution </w:t>
            </w:r>
            <w:r w:rsidR="00EF491A" w:rsidRPr="006D389B">
              <w:rPr>
                <w:sz w:val="18"/>
                <w:szCs w:val="18"/>
              </w:rPr>
              <w:t xml:space="preserve">    </w:t>
            </w:r>
            <w:r w:rsidRPr="006D389B">
              <w:rPr>
                <w:sz w:val="18"/>
                <w:szCs w:val="18"/>
              </w:rPr>
              <w:t>amount</w:t>
            </w:r>
          </w:p>
        </w:tc>
        <w:tc>
          <w:tcPr>
            <w:tcW w:w="236" w:type="dxa"/>
          </w:tcPr>
          <w:p w14:paraId="6331A375" w14:textId="77777777" w:rsidR="00F87574" w:rsidRPr="006D389B" w:rsidRDefault="00F87574" w:rsidP="006D389B">
            <w:pPr>
              <w:pStyle w:val="wTableNormal"/>
              <w:spacing w:before="120"/>
              <w:jc w:val="center"/>
              <w:rPr>
                <w:sz w:val="18"/>
                <w:szCs w:val="18"/>
              </w:rPr>
            </w:pPr>
            <w:r w:rsidRPr="006D389B">
              <w:rPr>
                <w:sz w:val="18"/>
                <w:szCs w:val="18"/>
              </w:rPr>
              <w:t>=</w:t>
            </w:r>
          </w:p>
        </w:tc>
        <w:tc>
          <w:tcPr>
            <w:tcW w:w="1870" w:type="dxa"/>
          </w:tcPr>
          <w:p w14:paraId="0258A9AE" w14:textId="77777777" w:rsidR="00F87574" w:rsidRPr="006D389B" w:rsidRDefault="00F87574" w:rsidP="006D389B">
            <w:pPr>
              <w:pStyle w:val="wTableNormal"/>
              <w:jc w:val="center"/>
              <w:rPr>
                <w:sz w:val="18"/>
                <w:szCs w:val="18"/>
              </w:rPr>
            </w:pPr>
            <w:r w:rsidRPr="006D389B">
              <w:rPr>
                <w:sz w:val="18"/>
                <w:szCs w:val="18"/>
              </w:rPr>
              <w:t>Tax-free portion of distribution</w:t>
            </w:r>
          </w:p>
        </w:tc>
      </w:tr>
    </w:tbl>
    <w:p w14:paraId="1F391723" w14:textId="77777777" w:rsidR="00434CE0" w:rsidRPr="000B485C" w:rsidRDefault="00434CE0" w:rsidP="007D6EBF">
      <w:pPr>
        <w:spacing w:before="120"/>
        <w:rPr>
          <w:i/>
          <w:szCs w:val="22"/>
        </w:rPr>
      </w:pPr>
      <w:r w:rsidRPr="000B485C">
        <w:rPr>
          <w:szCs w:val="22"/>
        </w:rPr>
        <w:t xml:space="preserve">Let’s </w:t>
      </w:r>
      <w:r w:rsidR="00F87574">
        <w:rPr>
          <w:szCs w:val="22"/>
        </w:rPr>
        <w:t>look at an example.</w:t>
      </w:r>
      <w:r w:rsidR="00297ACB">
        <w:rPr>
          <w:szCs w:val="22"/>
        </w:rPr>
        <w:t xml:space="preserve"> </w:t>
      </w:r>
      <w:r w:rsidR="00F87574">
        <w:rPr>
          <w:szCs w:val="22"/>
        </w:rPr>
        <w:t>A</w:t>
      </w:r>
      <w:r w:rsidRPr="000B485C">
        <w:rPr>
          <w:szCs w:val="22"/>
        </w:rPr>
        <w:t xml:space="preserve">ssume that </w:t>
      </w:r>
      <w:r w:rsidR="00F87574">
        <w:rPr>
          <w:szCs w:val="22"/>
        </w:rPr>
        <w:t>the</w:t>
      </w:r>
      <w:r w:rsidRPr="000B485C">
        <w:rPr>
          <w:szCs w:val="22"/>
        </w:rPr>
        <w:t xml:space="preserve"> client has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balance </w:t>
      </w:r>
      <w:r w:rsidR="00463B0B">
        <w:rPr>
          <w:szCs w:val="22"/>
        </w:rPr>
        <w:t xml:space="preserve">at year-end </w:t>
      </w:r>
      <w:r w:rsidRPr="000B485C">
        <w:rPr>
          <w:szCs w:val="22"/>
        </w:rPr>
        <w:t xml:space="preserve">of $35,000, $2,000 of which is </w:t>
      </w:r>
      <w:r w:rsidR="00F87574">
        <w:rPr>
          <w:szCs w:val="22"/>
        </w:rPr>
        <w:t>non-deductible contributions, and</w:t>
      </w:r>
      <w:r w:rsidRPr="000B485C">
        <w:rPr>
          <w:szCs w:val="22"/>
        </w:rPr>
        <w:t xml:space="preserve"> </w:t>
      </w:r>
      <w:r w:rsidR="00F87574">
        <w:rPr>
          <w:szCs w:val="22"/>
        </w:rPr>
        <w:t>h</w:t>
      </w:r>
      <w:r w:rsidRPr="000B485C">
        <w:rPr>
          <w:szCs w:val="22"/>
        </w:rPr>
        <w:t xml:space="preserve">e </w:t>
      </w:r>
      <w:r w:rsidR="00463B0B">
        <w:rPr>
          <w:szCs w:val="22"/>
        </w:rPr>
        <w:t>took</w:t>
      </w:r>
      <w:r w:rsidRPr="000B485C">
        <w:rPr>
          <w:szCs w:val="22"/>
        </w:rPr>
        <w:t xml:space="preserve"> a $5,000 distribution</w:t>
      </w:r>
      <w:r w:rsidR="00463B0B">
        <w:rPr>
          <w:szCs w:val="22"/>
        </w:rPr>
        <w:t xml:space="preserve"> during the year</w:t>
      </w:r>
      <w:r w:rsidRPr="000B485C">
        <w:rPr>
          <w:szCs w:val="22"/>
        </w:rPr>
        <w:t>.</w:t>
      </w:r>
      <w:r w:rsidR="00297ACB">
        <w:rPr>
          <w:szCs w:val="22"/>
        </w:rPr>
        <w:t xml:space="preserve"> </w:t>
      </w:r>
      <w:r w:rsidR="00F87574">
        <w:rPr>
          <w:szCs w:val="22"/>
        </w:rPr>
        <w:t>All that we need to do is p</w:t>
      </w:r>
      <w:r w:rsidRPr="000B485C">
        <w:rPr>
          <w:szCs w:val="22"/>
        </w:rPr>
        <w:t xml:space="preserve">lug the numbers into the formula </w:t>
      </w:r>
      <w:r w:rsidR="00F87574">
        <w:rPr>
          <w:szCs w:val="22"/>
        </w:rPr>
        <w:t xml:space="preserve">to see </w:t>
      </w:r>
      <w:r w:rsidRPr="000B485C">
        <w:rPr>
          <w:szCs w:val="22"/>
        </w:rPr>
        <w:t>how much of the $5,000 distribution would be considered tax-free as a return of his non-deductible contributions.</w:t>
      </w:r>
    </w:p>
    <w:p w14:paraId="6C395D86" w14:textId="77777777" w:rsidR="00434CE0" w:rsidRDefault="00F87574" w:rsidP="007D6EBF">
      <w:pPr>
        <w:spacing w:before="120"/>
        <w:rPr>
          <w:szCs w:val="22"/>
        </w:rPr>
      </w:pPr>
      <w:r>
        <w:rPr>
          <w:szCs w:val="22"/>
        </w:rPr>
        <w:t xml:space="preserve">By simply substituting the applicable numbers into the formula, we can see that the tax-free portion of the client’s distribution amounts to </w:t>
      </w:r>
      <w:r w:rsidR="00434CE0" w:rsidRPr="000B485C">
        <w:rPr>
          <w:szCs w:val="22"/>
        </w:rPr>
        <w:t>$250</w:t>
      </w:r>
      <w:r>
        <w:rPr>
          <w:szCs w:val="22"/>
        </w:rPr>
        <w:t>.</w:t>
      </w:r>
      <w:r w:rsidR="00297ACB">
        <w:rPr>
          <w:szCs w:val="22"/>
        </w:rPr>
        <w:t xml:space="preserve"> </w:t>
      </w:r>
      <w:r>
        <w:rPr>
          <w:szCs w:val="22"/>
        </w:rPr>
        <w:t>The substitution looks as follows:</w:t>
      </w:r>
    </w:p>
    <w:tbl>
      <w:tblPr>
        <w:tblW w:w="0" w:type="auto"/>
        <w:jc w:val="center"/>
        <w:tblLook w:val="01E0" w:firstRow="1" w:lastRow="1" w:firstColumn="1" w:lastColumn="1" w:noHBand="0" w:noVBand="0"/>
      </w:tblPr>
      <w:tblGrid>
        <w:gridCol w:w="2120"/>
        <w:gridCol w:w="410"/>
        <w:gridCol w:w="990"/>
        <w:gridCol w:w="440"/>
        <w:gridCol w:w="770"/>
      </w:tblGrid>
      <w:tr w:rsidR="00F87574" w:rsidRPr="006D389B" w14:paraId="297C8DD0" w14:textId="77777777" w:rsidTr="006D389B">
        <w:trPr>
          <w:jc w:val="center"/>
        </w:trPr>
        <w:tc>
          <w:tcPr>
            <w:tcW w:w="2120" w:type="dxa"/>
          </w:tcPr>
          <w:p w14:paraId="6FC5C647" w14:textId="77777777" w:rsidR="00F87574" w:rsidRPr="006D389B" w:rsidRDefault="00F87574" w:rsidP="006D389B">
            <w:pPr>
              <w:pStyle w:val="wTableNormal"/>
              <w:jc w:val="center"/>
              <w:rPr>
                <w:u w:val="single"/>
              </w:rPr>
            </w:pPr>
            <w:r w:rsidRPr="006D389B">
              <w:rPr>
                <w:u w:val="single"/>
              </w:rPr>
              <w:t>$2,000</w:t>
            </w:r>
          </w:p>
          <w:p w14:paraId="11548184" w14:textId="77777777" w:rsidR="006D42E8" w:rsidRPr="007A6E0D" w:rsidRDefault="00F87574" w:rsidP="006D389B">
            <w:pPr>
              <w:pStyle w:val="wTableNormal"/>
              <w:jc w:val="center"/>
            </w:pPr>
            <w:r w:rsidRPr="007A6E0D">
              <w:t>($35,000 + $5,000)</w:t>
            </w:r>
          </w:p>
        </w:tc>
        <w:tc>
          <w:tcPr>
            <w:tcW w:w="410" w:type="dxa"/>
          </w:tcPr>
          <w:p w14:paraId="71F951D5" w14:textId="77777777" w:rsidR="00F87574" w:rsidRPr="007A6E0D" w:rsidRDefault="00395C3E" w:rsidP="006D389B">
            <w:pPr>
              <w:pStyle w:val="wTableNormal"/>
              <w:spacing w:before="120"/>
            </w:pPr>
            <w:r>
              <w:t>x</w:t>
            </w:r>
          </w:p>
        </w:tc>
        <w:tc>
          <w:tcPr>
            <w:tcW w:w="990" w:type="dxa"/>
          </w:tcPr>
          <w:p w14:paraId="04C55104" w14:textId="77777777" w:rsidR="00F87574" w:rsidRPr="007A6E0D" w:rsidRDefault="00F87574" w:rsidP="006D389B">
            <w:pPr>
              <w:pStyle w:val="wTableNormal"/>
              <w:spacing w:before="120"/>
            </w:pPr>
            <w:r w:rsidRPr="007A6E0D">
              <w:t>$ 5,000</w:t>
            </w:r>
          </w:p>
        </w:tc>
        <w:tc>
          <w:tcPr>
            <w:tcW w:w="440" w:type="dxa"/>
          </w:tcPr>
          <w:p w14:paraId="20C1CB04" w14:textId="77777777" w:rsidR="00F87574" w:rsidRPr="007A6E0D" w:rsidRDefault="00F87574" w:rsidP="006D389B">
            <w:pPr>
              <w:pStyle w:val="wTableNormal"/>
              <w:spacing w:before="120"/>
            </w:pPr>
            <w:r w:rsidRPr="007A6E0D">
              <w:t>=</w:t>
            </w:r>
          </w:p>
        </w:tc>
        <w:tc>
          <w:tcPr>
            <w:tcW w:w="770" w:type="dxa"/>
          </w:tcPr>
          <w:p w14:paraId="459613A5" w14:textId="77777777" w:rsidR="00F87574" w:rsidRPr="007A6E0D" w:rsidRDefault="00F87574" w:rsidP="006D389B">
            <w:pPr>
              <w:pStyle w:val="wTableNormal"/>
              <w:spacing w:before="120"/>
            </w:pPr>
            <w:r w:rsidRPr="007A6E0D">
              <w:t>$250</w:t>
            </w:r>
          </w:p>
        </w:tc>
      </w:tr>
    </w:tbl>
    <w:p w14:paraId="2A593B7B" w14:textId="77777777" w:rsidR="00434CE0" w:rsidRPr="000B485C" w:rsidRDefault="00434CE0" w:rsidP="007D6EBF">
      <w:pPr>
        <w:spacing w:before="120"/>
        <w:rPr>
          <w:szCs w:val="22"/>
        </w:rPr>
      </w:pPr>
      <w:r w:rsidRPr="000B485C">
        <w:rPr>
          <w:szCs w:val="22"/>
        </w:rPr>
        <w:t xml:space="preserve">As </w:t>
      </w:r>
      <w:r w:rsidR="00F87574">
        <w:rPr>
          <w:szCs w:val="22"/>
        </w:rPr>
        <w:t>we</w:t>
      </w:r>
      <w:r w:rsidRPr="000B485C">
        <w:rPr>
          <w:szCs w:val="22"/>
        </w:rPr>
        <w:t xml:space="preserve"> can see from the formula, the underlying tax philosophy is to distribute the non-deductible contributions </w:t>
      </w:r>
      <w:r w:rsidR="007D6EBF">
        <w:rPr>
          <w:szCs w:val="22"/>
        </w:rPr>
        <w:t xml:space="preserve">on a pro-rata basis </w:t>
      </w:r>
      <w:r w:rsidRPr="000B485C">
        <w:rPr>
          <w:szCs w:val="22"/>
        </w:rPr>
        <w:t xml:space="preserve">over the </w:t>
      </w:r>
      <w:r w:rsidR="006D42E8">
        <w:rPr>
          <w:szCs w:val="22"/>
        </w:rPr>
        <w:t>life</w:t>
      </w:r>
      <w:r w:rsidRPr="000B485C">
        <w:rPr>
          <w:szCs w:val="22"/>
        </w:rPr>
        <w:t xml:space="preserve"> of the </w:t>
      </w:r>
      <w:r w:rsidR="006D42E8">
        <w:rPr>
          <w:szCs w:val="22"/>
        </w:rPr>
        <w:t>account</w:t>
      </w:r>
      <w:r w:rsidRPr="000B485C">
        <w:rPr>
          <w:szCs w:val="22"/>
        </w:rPr>
        <w:t>.</w:t>
      </w:r>
      <w:r w:rsidR="00297ACB">
        <w:rPr>
          <w:szCs w:val="22"/>
        </w:rPr>
        <w:t xml:space="preserve"> </w:t>
      </w:r>
      <w:r w:rsidRPr="000B485C">
        <w:rPr>
          <w:szCs w:val="22"/>
        </w:rPr>
        <w:t>There is</w:t>
      </w:r>
      <w:r w:rsidR="00AA4C1E">
        <w:rPr>
          <w:szCs w:val="22"/>
        </w:rPr>
        <w:t xml:space="preserve"> a tax drawback to the use of a traditional</w:t>
      </w:r>
      <w:r w:rsidRPr="000B485C">
        <w:rPr>
          <w:szCs w:val="22"/>
        </w:rPr>
        <w:t xml:space="preserve">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w:t>
      </w:r>
      <w:r w:rsidR="00297ACB">
        <w:rPr>
          <w:szCs w:val="22"/>
        </w:rPr>
        <w:t xml:space="preserve"> </w:t>
      </w:r>
      <w:r w:rsidR="006D42E8">
        <w:rPr>
          <w:szCs w:val="22"/>
        </w:rPr>
        <w:t>The disadvantage is that</w:t>
      </w:r>
      <w:r w:rsidRPr="000B485C">
        <w:rPr>
          <w:szCs w:val="22"/>
        </w:rPr>
        <w:t xml:space="preserve"> any capital gains</w:t>
      </w:r>
      <w:r w:rsidR="00A95039">
        <w:rPr>
          <w:szCs w:val="22"/>
        </w:rPr>
        <w:fldChar w:fldCharType="begin"/>
      </w:r>
      <w:r w:rsidR="00293611">
        <w:instrText xml:space="preserve"> XE "</w:instrText>
      </w:r>
      <w:r w:rsidR="00293611" w:rsidRPr="00CD56BD">
        <w:rPr>
          <w:szCs w:val="22"/>
        </w:rPr>
        <w:instrText>capital gains</w:instrText>
      </w:r>
      <w:r w:rsidR="00293611">
        <w:instrText xml:space="preserve">" </w:instrText>
      </w:r>
      <w:r w:rsidR="00A95039">
        <w:rPr>
          <w:szCs w:val="22"/>
        </w:rPr>
        <w:fldChar w:fldCharType="end"/>
      </w:r>
      <w:r w:rsidRPr="000B485C">
        <w:rPr>
          <w:szCs w:val="22"/>
        </w:rPr>
        <w:t xml:space="preserve"> treatment that the gain on the underlying investment might otherwise qualify for is lost.</w:t>
      </w:r>
      <w:r w:rsidR="00297ACB">
        <w:rPr>
          <w:szCs w:val="22"/>
        </w:rPr>
        <w:t xml:space="preserve"> </w:t>
      </w:r>
      <w:r w:rsidRPr="000B485C">
        <w:rPr>
          <w:szCs w:val="22"/>
        </w:rPr>
        <w:t xml:space="preserve">So, any earnings </w:t>
      </w:r>
      <w:r w:rsidR="0060099D">
        <w:rPr>
          <w:szCs w:val="22"/>
        </w:rPr>
        <w:t xml:space="preserve">distributed from a traditional IRA </w:t>
      </w:r>
      <w:r w:rsidRPr="000B485C">
        <w:rPr>
          <w:szCs w:val="22"/>
        </w:rPr>
        <w:t>are subject to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sidRPr="000B485C">
        <w:rPr>
          <w:szCs w:val="22"/>
        </w:rPr>
        <w:t xml:space="preserve"> tax, </w:t>
      </w:r>
      <w:r w:rsidR="006D42E8">
        <w:rPr>
          <w:szCs w:val="22"/>
        </w:rPr>
        <w:t>not</w:t>
      </w:r>
      <w:r w:rsidRPr="000B485C">
        <w:rPr>
          <w:szCs w:val="22"/>
        </w:rPr>
        <w:t xml:space="preserve"> capital gains </w:t>
      </w:r>
      <w:r w:rsidR="006D42E8">
        <w:rPr>
          <w:szCs w:val="22"/>
        </w:rPr>
        <w:t>treatment</w:t>
      </w:r>
      <w:r w:rsidRPr="000B485C">
        <w:rPr>
          <w:szCs w:val="22"/>
        </w:rPr>
        <w:t>.</w:t>
      </w:r>
    </w:p>
    <w:p w14:paraId="3C4BAC22" w14:textId="77777777" w:rsidR="00B81083" w:rsidRDefault="00B81083" w:rsidP="00B81083">
      <w:pPr>
        <w:pStyle w:val="Heading3"/>
        <w:rPr>
          <w:szCs w:val="22"/>
        </w:rPr>
      </w:pPr>
      <w:bookmarkStart w:id="48" w:name="_Toc250473299"/>
      <w:bookmarkStart w:id="49" w:name="_Toc404357163"/>
      <w:r>
        <w:t>Required Distributions during Owner’s Lifetime</w:t>
      </w:r>
      <w:bookmarkEnd w:id="48"/>
      <w:bookmarkEnd w:id="49"/>
    </w:p>
    <w:p w14:paraId="3E177502" w14:textId="77777777" w:rsidR="00AE44B4" w:rsidRDefault="00434CE0" w:rsidP="00825E0B">
      <w:pPr>
        <w:rPr>
          <w:szCs w:val="22"/>
        </w:rPr>
      </w:pPr>
      <w:r w:rsidRPr="000B485C">
        <w:rPr>
          <w:szCs w:val="22"/>
        </w:rPr>
        <w:t xml:space="preserve">We’ve talked about </w:t>
      </w:r>
      <w:r w:rsidR="00AE44B4">
        <w:rPr>
          <w:szCs w:val="22"/>
        </w:rPr>
        <w:t>the age that</w:t>
      </w:r>
      <w:r w:rsidRPr="000B485C">
        <w:rPr>
          <w:szCs w:val="22"/>
        </w:rPr>
        <w:t xml:space="preserve"> </w:t>
      </w:r>
      <w:r w:rsidR="00A37936">
        <w:rPr>
          <w:szCs w:val="22"/>
        </w:rPr>
        <w:t>IRA owners</w:t>
      </w:r>
      <w:r w:rsidRPr="000B485C">
        <w:rPr>
          <w:szCs w:val="22"/>
        </w:rPr>
        <w:t xml:space="preserve"> need to be </w:t>
      </w:r>
      <w:r w:rsidR="00AE44B4">
        <w:rPr>
          <w:szCs w:val="22"/>
        </w:rPr>
        <w:t xml:space="preserve">in order </w:t>
      </w:r>
      <w:r w:rsidRPr="000B485C">
        <w:rPr>
          <w:szCs w:val="22"/>
        </w:rPr>
        <w:t xml:space="preserve">to avoid premature distribution tax penalties on distributions, but we haven’t yet discussed </w:t>
      </w:r>
      <w:r w:rsidR="00AE44B4">
        <w:rPr>
          <w:szCs w:val="22"/>
        </w:rPr>
        <w:t>at what age</w:t>
      </w:r>
      <w:r w:rsidRPr="000B485C">
        <w:rPr>
          <w:szCs w:val="22"/>
        </w:rPr>
        <w:t xml:space="preserve"> distributions </w:t>
      </w:r>
      <w:r w:rsidRPr="00A37936">
        <w:rPr>
          <w:i/>
          <w:szCs w:val="22"/>
        </w:rPr>
        <w:t xml:space="preserve">must </w:t>
      </w:r>
      <w:r w:rsidRPr="000B485C">
        <w:rPr>
          <w:szCs w:val="22"/>
        </w:rPr>
        <w:t>be taken 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w:t>
      </w:r>
      <w:r w:rsidR="00297ACB">
        <w:rPr>
          <w:szCs w:val="22"/>
        </w:rPr>
        <w:t xml:space="preserve"> </w:t>
      </w:r>
      <w:r w:rsidR="00AE44B4">
        <w:rPr>
          <w:szCs w:val="22"/>
        </w:rPr>
        <w:t>For clients that can afford it, it would be nice if the tax deferral of contributions and earnings offered by traditional IRAs could continue indefinitely.</w:t>
      </w:r>
      <w:r w:rsidR="00297ACB">
        <w:rPr>
          <w:szCs w:val="22"/>
        </w:rPr>
        <w:t xml:space="preserve"> </w:t>
      </w:r>
      <w:r w:rsidR="00AE44B4">
        <w:rPr>
          <w:szCs w:val="22"/>
        </w:rPr>
        <w:t>Unfortunately, that is not the case; there is a day of income tax reckoning when those previously-deducted traditional IRA contributions must be withdrawn.</w:t>
      </w:r>
    </w:p>
    <w:p w14:paraId="24F0B3B5" w14:textId="77777777" w:rsidR="00434CE0" w:rsidRPr="000B485C" w:rsidRDefault="00434CE0" w:rsidP="00825E0B">
      <w:pPr>
        <w:rPr>
          <w:szCs w:val="22"/>
        </w:rPr>
      </w:pPr>
      <w:r w:rsidRPr="000B485C">
        <w:rPr>
          <w:szCs w:val="22"/>
        </w:rPr>
        <w:t>The I</w:t>
      </w:r>
      <w:r w:rsidR="00AE44B4">
        <w:rPr>
          <w:szCs w:val="22"/>
        </w:rPr>
        <w:t>nternal Revenue Code</w:t>
      </w:r>
      <w:r w:rsidRPr="000B485C">
        <w:rPr>
          <w:szCs w:val="22"/>
        </w:rPr>
        <w:t xml:space="preserve"> requires that minimum distribut</w:t>
      </w:r>
      <w:r w:rsidR="00AE44B4">
        <w:rPr>
          <w:szCs w:val="22"/>
        </w:rPr>
        <w:t>ions 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AE44B4">
        <w:rPr>
          <w:szCs w:val="22"/>
        </w:rPr>
        <w:t xml:space="preserve"> begin no later than the owner’s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Pr="000B485C">
        <w:rPr>
          <w:szCs w:val="22"/>
        </w:rPr>
        <w:t>.</w:t>
      </w:r>
      <w:r w:rsidR="00297ACB">
        <w:rPr>
          <w:szCs w:val="22"/>
        </w:rPr>
        <w:t xml:space="preserve"> </w:t>
      </w:r>
      <w:r w:rsidRPr="000B485C">
        <w:rPr>
          <w:szCs w:val="22"/>
        </w:rPr>
        <w:t>Actually, the law permits the individual to delay taking the</w:t>
      </w:r>
      <w:r w:rsidR="000461A8">
        <w:rPr>
          <w:szCs w:val="22"/>
        </w:rPr>
        <w:t xml:space="preserve"> first</w:t>
      </w:r>
      <w:r w:rsidRPr="000B485C">
        <w:rPr>
          <w:szCs w:val="22"/>
        </w:rPr>
        <w:t xml:space="preserve"> </w:t>
      </w:r>
      <w:r w:rsidR="00B81083">
        <w:rPr>
          <w:szCs w:val="22"/>
        </w:rPr>
        <w:t xml:space="preserve">required </w:t>
      </w:r>
      <w:r w:rsidRPr="000B485C">
        <w:rPr>
          <w:szCs w:val="22"/>
        </w:rPr>
        <w:t>minimum distribution</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sidRPr="000B485C">
        <w:rPr>
          <w:szCs w:val="22"/>
        </w:rPr>
        <w:t xml:space="preserve"> until April 1</w:t>
      </w:r>
      <w:r w:rsidR="00AE44B4" w:rsidRPr="00AE44B4">
        <w:rPr>
          <w:szCs w:val="22"/>
          <w:vertAlign w:val="superscript"/>
        </w:rPr>
        <w:t>st</w:t>
      </w:r>
      <w:r w:rsidR="00AE44B4">
        <w:rPr>
          <w:szCs w:val="22"/>
        </w:rPr>
        <w:t xml:space="preserve"> </w:t>
      </w:r>
      <w:r w:rsidRPr="000B485C">
        <w:rPr>
          <w:szCs w:val="22"/>
        </w:rPr>
        <w:t>of the year following the year in which he or she turns age 70</w:t>
      </w:r>
      <w:r w:rsidR="00AE44B4">
        <w:rPr>
          <w:szCs w:val="22"/>
        </w:rPr>
        <w:t>½.</w:t>
      </w:r>
      <w:r w:rsidR="00297ACB">
        <w:rPr>
          <w:szCs w:val="22"/>
        </w:rPr>
        <w:t xml:space="preserve"> </w:t>
      </w:r>
      <w:r w:rsidR="00771172">
        <w:rPr>
          <w:szCs w:val="22"/>
        </w:rPr>
        <w:t xml:space="preserve">This </w:t>
      </w:r>
      <w:r w:rsidR="006B61E4">
        <w:t xml:space="preserve">date (on which distributions must begin) </w:t>
      </w:r>
      <w:r w:rsidR="00771172">
        <w:rPr>
          <w:szCs w:val="22"/>
        </w:rPr>
        <w:t xml:space="preserve">is known as the </w:t>
      </w:r>
      <w:r w:rsidR="00297ACB">
        <w:rPr>
          <w:szCs w:val="22"/>
        </w:rPr>
        <w:t>“</w:t>
      </w:r>
      <w:r w:rsidR="00771172">
        <w:rPr>
          <w:szCs w:val="22"/>
        </w:rPr>
        <w:t>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sidR="00771172">
        <w:rPr>
          <w:szCs w:val="22"/>
        </w:rPr>
        <w:t>.</w:t>
      </w:r>
      <w:r w:rsidR="00297ACB">
        <w:rPr>
          <w:szCs w:val="22"/>
        </w:rPr>
        <w:t xml:space="preserve">” </w:t>
      </w:r>
      <w:r w:rsidR="00AE44B4">
        <w:rPr>
          <w:szCs w:val="22"/>
        </w:rPr>
        <w:t>A</w:t>
      </w:r>
      <w:r w:rsidRPr="000B485C">
        <w:rPr>
          <w:szCs w:val="22"/>
        </w:rPr>
        <w:t xml:space="preserve">dvisors </w:t>
      </w:r>
      <w:r w:rsidR="00AE44B4">
        <w:rPr>
          <w:szCs w:val="22"/>
        </w:rPr>
        <w:t>generally</w:t>
      </w:r>
      <w:r w:rsidRPr="000B485C">
        <w:rPr>
          <w:szCs w:val="22"/>
        </w:rPr>
        <w:t xml:space="preserve"> coun</w:t>
      </w:r>
      <w:r w:rsidR="00AE44B4">
        <w:rPr>
          <w:szCs w:val="22"/>
        </w:rPr>
        <w:t>se</w:t>
      </w:r>
      <w:r w:rsidRPr="000B485C">
        <w:rPr>
          <w:szCs w:val="22"/>
        </w:rPr>
        <w:t>l their clients not to wait until the following year</w:t>
      </w:r>
      <w:r w:rsidR="00AE44B4">
        <w:rPr>
          <w:szCs w:val="22"/>
        </w:rPr>
        <w:t>, however,</w:t>
      </w:r>
      <w:r w:rsidRPr="000B485C">
        <w:rPr>
          <w:szCs w:val="22"/>
        </w:rPr>
        <w:t xml:space="preserve"> because the client must then take a second distribution by December 31</w:t>
      </w:r>
      <w:r w:rsidR="00AE44B4" w:rsidRPr="00AE44B4">
        <w:rPr>
          <w:szCs w:val="22"/>
          <w:vertAlign w:val="superscript"/>
        </w:rPr>
        <w:t>st</w:t>
      </w:r>
      <w:r w:rsidR="00AE44B4">
        <w:rPr>
          <w:szCs w:val="22"/>
        </w:rPr>
        <w:t xml:space="preserve"> </w:t>
      </w:r>
      <w:r w:rsidRPr="000B485C">
        <w:rPr>
          <w:szCs w:val="22"/>
        </w:rPr>
        <w:t>of that same year.</w:t>
      </w:r>
      <w:r w:rsidR="00297ACB">
        <w:rPr>
          <w:szCs w:val="22"/>
        </w:rPr>
        <w:t xml:space="preserve"> </w:t>
      </w:r>
      <w:r w:rsidRPr="000B485C">
        <w:rPr>
          <w:szCs w:val="22"/>
        </w:rPr>
        <w:t xml:space="preserve">As a result, two taxable distributions will occur during the same year—a situation </w:t>
      </w:r>
      <w:r w:rsidR="00A37936">
        <w:rPr>
          <w:szCs w:val="22"/>
        </w:rPr>
        <w:t xml:space="preserve">that </w:t>
      </w:r>
      <w:r w:rsidRPr="000B485C">
        <w:rPr>
          <w:szCs w:val="22"/>
        </w:rPr>
        <w:t xml:space="preserve">many people </w:t>
      </w:r>
      <w:r w:rsidR="00A37936">
        <w:rPr>
          <w:szCs w:val="22"/>
        </w:rPr>
        <w:t xml:space="preserve">would </w:t>
      </w:r>
      <w:r w:rsidRPr="000B485C">
        <w:rPr>
          <w:szCs w:val="22"/>
        </w:rPr>
        <w:t>choose to avoid.</w:t>
      </w:r>
      <w:r w:rsidR="00297ACB">
        <w:rPr>
          <w:szCs w:val="22"/>
        </w:rPr>
        <w:t xml:space="preserve"> </w:t>
      </w:r>
      <w:r w:rsidR="00CD77BF">
        <w:rPr>
          <w:szCs w:val="22"/>
        </w:rPr>
        <w:t>As we will examine in the next lesson, distributions need never be taken from a Roth IRA</w:t>
      </w:r>
      <w:r w:rsidR="003949A2">
        <w:rPr>
          <w:szCs w:val="22"/>
        </w:rPr>
        <w:t xml:space="preserve"> during the owner’s lifetime</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CD77BF">
        <w:rPr>
          <w:szCs w:val="22"/>
        </w:rPr>
        <w:t>.</w:t>
      </w:r>
    </w:p>
    <w:p w14:paraId="412AE266" w14:textId="77777777" w:rsidR="00297C04" w:rsidRDefault="00771172" w:rsidP="00825E0B">
      <w:pPr>
        <w:rPr>
          <w:szCs w:val="22"/>
        </w:rPr>
      </w:pPr>
      <w:r>
        <w:rPr>
          <w:szCs w:val="22"/>
        </w:rPr>
        <w:lastRenderedPageBreak/>
        <w:t>It i</w:t>
      </w:r>
      <w:r w:rsidR="00297C04">
        <w:rPr>
          <w:szCs w:val="22"/>
        </w:rPr>
        <w:t>s important that the difference</w:t>
      </w:r>
      <w:r>
        <w:rPr>
          <w:szCs w:val="22"/>
        </w:rPr>
        <w:t xml:space="preserve"> between the rules governing required minimum 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Pr>
          <w:szCs w:val="22"/>
        </w:rPr>
        <w:t xml:space="preserve"> (</w:t>
      </w:r>
      <w:r w:rsidR="006C5D6E">
        <w:rPr>
          <w:szCs w:val="22"/>
        </w:rPr>
        <w:t>R</w:t>
      </w:r>
      <w:r w:rsidR="00972376">
        <w:rPr>
          <w:szCs w:val="22"/>
        </w:rPr>
        <w:t>M</w:t>
      </w:r>
      <w:r w:rsidR="006C5D6E">
        <w:rPr>
          <w:szCs w:val="22"/>
        </w:rPr>
        <w:t>D</w:t>
      </w:r>
      <w:r>
        <w:rPr>
          <w:szCs w:val="22"/>
        </w:rPr>
        <w:t xml:space="preserve">s) from traditional IRAs and the rules governing </w:t>
      </w:r>
      <w:r w:rsidR="006C5D6E">
        <w:rPr>
          <w:szCs w:val="22"/>
        </w:rPr>
        <w:t>R</w:t>
      </w:r>
      <w:r w:rsidR="00972376">
        <w:rPr>
          <w:szCs w:val="22"/>
        </w:rPr>
        <w:t>M</w:t>
      </w:r>
      <w:r w:rsidR="006C5D6E">
        <w:rPr>
          <w:szCs w:val="22"/>
        </w:rPr>
        <w:t>D</w:t>
      </w:r>
      <w:r>
        <w:rPr>
          <w:szCs w:val="22"/>
        </w:rPr>
        <w:t>s from employer-sponsored plans be understood.</w:t>
      </w:r>
      <w:r w:rsidR="00297ACB">
        <w:rPr>
          <w:szCs w:val="22"/>
        </w:rPr>
        <w:t xml:space="preserve"> </w:t>
      </w:r>
      <w:r w:rsidR="00297C04">
        <w:rPr>
          <w:szCs w:val="22"/>
        </w:rPr>
        <w:t>Required minimum distributions must begin from traditional IRAs when the owner becomes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00297C04">
        <w:rPr>
          <w:szCs w:val="22"/>
        </w:rPr>
        <w:t>.</w:t>
      </w:r>
      <w:r w:rsidR="00297ACB">
        <w:rPr>
          <w:szCs w:val="22"/>
        </w:rPr>
        <w:t xml:space="preserve"> </w:t>
      </w:r>
      <w:r w:rsidR="00297C04">
        <w:rPr>
          <w:szCs w:val="22"/>
        </w:rPr>
        <w:t xml:space="preserve">Generally, for participants in employer-sponsored retirement plans, </w:t>
      </w:r>
      <w:r w:rsidR="006C5D6E">
        <w:rPr>
          <w:szCs w:val="22"/>
        </w:rPr>
        <w:t>R</w:t>
      </w:r>
      <w:r w:rsidR="00972376">
        <w:rPr>
          <w:szCs w:val="22"/>
        </w:rPr>
        <w:t>M</w:t>
      </w:r>
      <w:r w:rsidR="006C5D6E">
        <w:rPr>
          <w:szCs w:val="22"/>
        </w:rPr>
        <w:t>D</w:t>
      </w:r>
      <w:r w:rsidR="00297C04">
        <w:rPr>
          <w:szCs w:val="22"/>
        </w:rPr>
        <w:t xml:space="preserve">s must begin on the </w:t>
      </w:r>
      <w:r w:rsidR="00297C04">
        <w:rPr>
          <w:i/>
          <w:szCs w:val="22"/>
        </w:rPr>
        <w:t>later</w:t>
      </w:r>
      <w:r w:rsidR="00297C04">
        <w:rPr>
          <w:szCs w:val="22"/>
        </w:rPr>
        <w:t xml:space="preserve"> of the participant’s:</w:t>
      </w:r>
    </w:p>
    <w:p w14:paraId="253C2D03" w14:textId="77777777" w:rsidR="00297C04" w:rsidRPr="00395C3E" w:rsidRDefault="00297C04" w:rsidP="007A5E54">
      <w:pPr>
        <w:pStyle w:val="ListParagraph"/>
        <w:numPr>
          <w:ilvl w:val="0"/>
          <w:numId w:val="121"/>
        </w:numPr>
        <w:ind w:left="720"/>
      </w:pPr>
      <w:r w:rsidRPr="00395C3E">
        <w:t>Attaining age 70 ½</w:t>
      </w:r>
      <w:r w:rsidR="00D5227F">
        <w:t>;</w:t>
      </w:r>
      <w:r w:rsidR="00395C3E" w:rsidRPr="00395C3E">
        <w:t xml:space="preserve"> </w:t>
      </w:r>
      <w:r w:rsidRPr="00395C3E">
        <w:t>or</w:t>
      </w:r>
    </w:p>
    <w:p w14:paraId="10978A49" w14:textId="77777777" w:rsidR="00297C04" w:rsidRPr="00395C3E" w:rsidRDefault="00297C04" w:rsidP="007A5E54">
      <w:pPr>
        <w:pStyle w:val="ListParagraph"/>
        <w:numPr>
          <w:ilvl w:val="0"/>
          <w:numId w:val="121"/>
        </w:numPr>
        <w:ind w:left="720"/>
      </w:pPr>
      <w:r w:rsidRPr="00395C3E">
        <w:t>Retiring from the employer maintaining the plan</w:t>
      </w:r>
      <w:r w:rsidR="00D5227F">
        <w:t>.</w:t>
      </w:r>
    </w:p>
    <w:p w14:paraId="20A0BCDB" w14:textId="77777777" w:rsidR="00297C04" w:rsidRDefault="00297C04" w:rsidP="00825E0B">
      <w:pPr>
        <w:rPr>
          <w:szCs w:val="22"/>
        </w:rPr>
      </w:pPr>
      <w:r>
        <w:rPr>
          <w:szCs w:val="22"/>
        </w:rPr>
        <w:t>The 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Pr>
          <w:szCs w:val="22"/>
        </w:rPr>
        <w:t xml:space="preserve"> for receiving the first </w:t>
      </w:r>
      <w:r w:rsidR="006C5D6E">
        <w:rPr>
          <w:szCs w:val="22"/>
        </w:rPr>
        <w:t>R</w:t>
      </w:r>
      <w:r w:rsidR="00972376">
        <w:rPr>
          <w:szCs w:val="22"/>
        </w:rPr>
        <w:t>M</w:t>
      </w:r>
      <w:r w:rsidR="006C5D6E">
        <w:rPr>
          <w:szCs w:val="22"/>
        </w:rPr>
        <w:t>D</w:t>
      </w:r>
      <w:r>
        <w:rPr>
          <w:szCs w:val="22"/>
        </w:rPr>
        <w:t xml:space="preserve"> </w:t>
      </w:r>
      <w:r w:rsidR="00285018">
        <w:rPr>
          <w:szCs w:val="22"/>
        </w:rPr>
        <w:t>from an employer-sponsored retirement plan</w:t>
      </w:r>
      <w:r w:rsidR="00A95039">
        <w:rPr>
          <w:szCs w:val="22"/>
        </w:rPr>
        <w:fldChar w:fldCharType="begin"/>
      </w:r>
      <w:r w:rsidR="00293611">
        <w:instrText xml:space="preserve"> XE "</w:instrText>
      </w:r>
      <w:r w:rsidR="00293611" w:rsidRPr="00CD56BD">
        <w:rPr>
          <w:szCs w:val="22"/>
        </w:rPr>
        <w:instrText>employer-sponsored retirement plan</w:instrText>
      </w:r>
      <w:r w:rsidR="00293611">
        <w:instrText xml:space="preserve">" </w:instrText>
      </w:r>
      <w:r w:rsidR="00A95039">
        <w:rPr>
          <w:szCs w:val="22"/>
        </w:rPr>
        <w:fldChar w:fldCharType="end"/>
      </w:r>
      <w:r w:rsidR="00285018">
        <w:rPr>
          <w:szCs w:val="22"/>
        </w:rPr>
        <w:t xml:space="preserve"> </w:t>
      </w:r>
      <w:r>
        <w:rPr>
          <w:szCs w:val="22"/>
        </w:rPr>
        <w:t>is April 1 of the year following the participant’s reaching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 xml:space="preserve"> or retiring.</w:t>
      </w:r>
    </w:p>
    <w:p w14:paraId="5179E916" w14:textId="77777777" w:rsidR="00B81083" w:rsidRDefault="00B81083" w:rsidP="00B81083">
      <w:pPr>
        <w:pStyle w:val="Heading4"/>
      </w:pPr>
      <w:bookmarkStart w:id="50" w:name="_Toc404357164"/>
      <w:r>
        <w:t>Required Minimum Distribution Amount</w:t>
      </w:r>
      <w:bookmarkEnd w:id="50"/>
    </w:p>
    <w:p w14:paraId="4CEFCE6D" w14:textId="77777777" w:rsidR="00434CE0" w:rsidRPr="000B485C" w:rsidRDefault="00707CED" w:rsidP="00825E0B">
      <w:pPr>
        <w:rPr>
          <w:szCs w:val="22"/>
        </w:rPr>
      </w:pPr>
      <w:r>
        <w:rPr>
          <w:szCs w:val="22"/>
        </w:rPr>
        <w:t>In general, t</w:t>
      </w:r>
      <w:r w:rsidR="00434CE0" w:rsidRPr="000B485C">
        <w:rPr>
          <w:szCs w:val="22"/>
        </w:rPr>
        <w:t xml:space="preserve">he minimum required distribution is equal to the value of the </w:t>
      </w:r>
      <w:r>
        <w:rPr>
          <w:szCs w:val="22"/>
        </w:rPr>
        <w:t>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w:t>
      </w:r>
      <w:r>
        <w:rPr>
          <w:szCs w:val="22"/>
        </w:rPr>
        <w:t xml:space="preserve">(or the account balance in the case of an employer-sponsored plan) </w:t>
      </w:r>
      <w:r w:rsidR="00434CE0" w:rsidRPr="000B485C">
        <w:rPr>
          <w:szCs w:val="22"/>
        </w:rPr>
        <w:t>divided by the individual’s remaining life expectancy.</w:t>
      </w:r>
      <w:r w:rsidR="00297ACB">
        <w:rPr>
          <w:szCs w:val="22"/>
        </w:rPr>
        <w:t xml:space="preserve"> </w:t>
      </w:r>
      <w:r>
        <w:rPr>
          <w:szCs w:val="22"/>
        </w:rPr>
        <w:t>In fact, the federal government has made the determination of remaining life expectancy easy by publishing a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that governs most lifetime required </w:t>
      </w:r>
      <w:r w:rsidR="00364424">
        <w:rPr>
          <w:szCs w:val="22"/>
        </w:rPr>
        <w:t xml:space="preserve">minimum </w:t>
      </w:r>
      <w:r>
        <w:rPr>
          <w:szCs w:val="22"/>
        </w:rPr>
        <w:t>distributions by prescribing distribution periods depending on the age of the individual.</w:t>
      </w:r>
    </w:p>
    <w:p w14:paraId="26CF18D8" w14:textId="77777777" w:rsidR="00707CED" w:rsidRDefault="00707CED" w:rsidP="00825E0B">
      <w:pPr>
        <w:rPr>
          <w:szCs w:val="22"/>
        </w:rPr>
      </w:pPr>
      <w:r>
        <w:rPr>
          <w:szCs w:val="22"/>
        </w:rPr>
        <w:t>A</w:t>
      </w:r>
      <w:r w:rsidR="00434CE0" w:rsidRPr="000B485C">
        <w:rPr>
          <w:szCs w:val="22"/>
        </w:rPr>
        <w:t xml:space="preserve"> failure to follow rules </w:t>
      </w:r>
      <w:r>
        <w:rPr>
          <w:szCs w:val="22"/>
        </w:rPr>
        <w:t xml:space="preserve">prescribed by the government </w:t>
      </w:r>
      <w:r w:rsidR="00434CE0" w:rsidRPr="000B485C">
        <w:rPr>
          <w:szCs w:val="22"/>
        </w:rPr>
        <w:t xml:space="preserve">is usually penalized by </w:t>
      </w:r>
      <w:r>
        <w:rPr>
          <w:szCs w:val="22"/>
        </w:rPr>
        <w:t>the imposition of additional taxes;</w:t>
      </w:r>
      <w:r w:rsidR="00434CE0" w:rsidRPr="000B485C">
        <w:rPr>
          <w:szCs w:val="22"/>
        </w:rPr>
        <w:t xml:space="preserve"> </w:t>
      </w:r>
      <w:r>
        <w:rPr>
          <w:szCs w:val="22"/>
        </w:rPr>
        <w:t>t</w:t>
      </w:r>
      <w:r w:rsidR="00434CE0" w:rsidRPr="000B485C">
        <w:rPr>
          <w:szCs w:val="22"/>
        </w:rPr>
        <w:t>his is no exception.</w:t>
      </w:r>
      <w:r w:rsidR="00297ACB">
        <w:rPr>
          <w:szCs w:val="22"/>
        </w:rPr>
        <w:t xml:space="preserve"> </w:t>
      </w:r>
      <w:r w:rsidR="00434CE0" w:rsidRPr="000B485C">
        <w:rPr>
          <w:szCs w:val="22"/>
        </w:rPr>
        <w:t xml:space="preserve">The penalty </w:t>
      </w:r>
      <w:r>
        <w:rPr>
          <w:szCs w:val="22"/>
        </w:rPr>
        <w:t>for a failure to take a distribution</w:t>
      </w:r>
      <w:r w:rsidR="00A95039">
        <w:rPr>
          <w:szCs w:val="22"/>
        </w:rPr>
        <w:fldChar w:fldCharType="begin"/>
      </w:r>
      <w:r w:rsidR="00293611">
        <w:instrText xml:space="preserve"> XE "</w:instrText>
      </w:r>
      <w:r w:rsidR="00293611" w:rsidRPr="00CD56BD">
        <w:rPr>
          <w:szCs w:val="22"/>
        </w:rPr>
        <w:instrText>failure to take a required minimum distribution</w:instrText>
      </w:r>
      <w:r w:rsidR="00293611">
        <w:instrText xml:space="preserve">" </w:instrText>
      </w:r>
      <w:r w:rsidR="00A95039">
        <w:rPr>
          <w:szCs w:val="22"/>
        </w:rPr>
        <w:fldChar w:fldCharType="end"/>
      </w:r>
      <w:r>
        <w:rPr>
          <w:szCs w:val="22"/>
        </w:rPr>
        <w:t xml:space="preserve"> at least equal to the </w:t>
      </w:r>
      <w:r w:rsidR="006C5D6E">
        <w:rPr>
          <w:szCs w:val="22"/>
        </w:rPr>
        <w:t>R</w:t>
      </w:r>
      <w:r w:rsidR="00972376">
        <w:rPr>
          <w:szCs w:val="22"/>
        </w:rPr>
        <w:t>M</w:t>
      </w:r>
      <w:r w:rsidR="006C5D6E">
        <w:rPr>
          <w:szCs w:val="22"/>
        </w:rPr>
        <w:t>D</w:t>
      </w:r>
      <w:r>
        <w:rPr>
          <w:szCs w:val="22"/>
        </w:rPr>
        <w:t xml:space="preserve"> </w:t>
      </w:r>
      <w:r w:rsidR="00434CE0" w:rsidRPr="000B485C">
        <w:rPr>
          <w:szCs w:val="22"/>
        </w:rPr>
        <w:t>is 50</w:t>
      </w:r>
      <w:r>
        <w:rPr>
          <w:szCs w:val="22"/>
        </w:rPr>
        <w:t xml:space="preserve"> percent</w:t>
      </w:r>
      <w:r w:rsidR="00434CE0" w:rsidRPr="000B485C">
        <w:rPr>
          <w:szCs w:val="22"/>
        </w:rPr>
        <w:t xml:space="preserve"> of the insufficiency.</w:t>
      </w:r>
      <w:r w:rsidR="00297ACB">
        <w:rPr>
          <w:szCs w:val="22"/>
        </w:rPr>
        <w:t xml:space="preserve"> </w:t>
      </w:r>
      <w:r w:rsidR="00434CE0" w:rsidRPr="000B485C">
        <w:rPr>
          <w:szCs w:val="22"/>
        </w:rPr>
        <w:t>So, if the individual was required to take a minimum distribution of $1</w:t>
      </w:r>
      <w:r>
        <w:rPr>
          <w:szCs w:val="22"/>
        </w:rPr>
        <w:t>5</w:t>
      </w:r>
      <w:r w:rsidR="00434CE0" w:rsidRPr="000B485C">
        <w:rPr>
          <w:szCs w:val="22"/>
        </w:rPr>
        <w:t>,000 and</w:t>
      </w:r>
      <w:r>
        <w:rPr>
          <w:szCs w:val="22"/>
        </w:rPr>
        <w:t xml:space="preserve"> </w:t>
      </w:r>
      <w:r w:rsidR="00434CE0" w:rsidRPr="000B485C">
        <w:rPr>
          <w:szCs w:val="22"/>
        </w:rPr>
        <w:t xml:space="preserve">only took $5,000, the </w:t>
      </w:r>
      <w:r>
        <w:rPr>
          <w:szCs w:val="22"/>
        </w:rPr>
        <w:t>failure to take the other</w:t>
      </w:r>
      <w:r w:rsidR="00434CE0" w:rsidRPr="000B485C">
        <w:rPr>
          <w:szCs w:val="22"/>
        </w:rPr>
        <w:t xml:space="preserve"> $</w:t>
      </w:r>
      <w:r>
        <w:rPr>
          <w:szCs w:val="22"/>
        </w:rPr>
        <w:t>10</w:t>
      </w:r>
      <w:r w:rsidR="00434CE0" w:rsidRPr="000B485C">
        <w:rPr>
          <w:szCs w:val="22"/>
        </w:rPr>
        <w:t xml:space="preserve">,000 </w:t>
      </w:r>
      <w:r>
        <w:rPr>
          <w:szCs w:val="22"/>
        </w:rPr>
        <w:t>would</w:t>
      </w:r>
      <w:r w:rsidR="00434CE0" w:rsidRPr="000B485C">
        <w:rPr>
          <w:szCs w:val="22"/>
        </w:rPr>
        <w:t xml:space="preserve"> </w:t>
      </w:r>
      <w:r>
        <w:rPr>
          <w:szCs w:val="22"/>
        </w:rPr>
        <w:t xml:space="preserve">result in a </w:t>
      </w:r>
      <w:r w:rsidR="00434CE0" w:rsidRPr="000B485C">
        <w:rPr>
          <w:szCs w:val="22"/>
        </w:rPr>
        <w:t xml:space="preserve">tax </w:t>
      </w:r>
      <w:r>
        <w:rPr>
          <w:szCs w:val="22"/>
        </w:rPr>
        <w:t>of</w:t>
      </w:r>
      <w:r w:rsidR="00434CE0" w:rsidRPr="000B485C">
        <w:rPr>
          <w:szCs w:val="22"/>
        </w:rPr>
        <w:t xml:space="preserve"> </w:t>
      </w:r>
      <w:r>
        <w:rPr>
          <w:szCs w:val="22"/>
        </w:rPr>
        <w:t>$</w:t>
      </w:r>
      <w:r w:rsidR="00434CE0" w:rsidRPr="000B485C">
        <w:rPr>
          <w:szCs w:val="22"/>
        </w:rPr>
        <w:t>5</w:t>
      </w:r>
      <w:r>
        <w:rPr>
          <w:szCs w:val="22"/>
        </w:rPr>
        <w:t>,</w:t>
      </w:r>
      <w:r w:rsidR="00434CE0" w:rsidRPr="000B485C">
        <w:rPr>
          <w:szCs w:val="22"/>
        </w:rPr>
        <w:t>0</w:t>
      </w:r>
      <w:r>
        <w:rPr>
          <w:szCs w:val="22"/>
        </w:rPr>
        <w:t>00</w:t>
      </w:r>
      <w:r w:rsidR="00434CE0" w:rsidRPr="000B485C">
        <w:rPr>
          <w:szCs w:val="22"/>
        </w:rPr>
        <w:t>.</w:t>
      </w:r>
      <w:r w:rsidR="00364424" w:rsidRPr="00364424">
        <w:t xml:space="preserve"> </w:t>
      </w:r>
      <w:r w:rsidR="00364424">
        <w:t>($10,000 x 50% = $5,000)</w:t>
      </w:r>
    </w:p>
    <w:p w14:paraId="71F8E9DC" w14:textId="77777777" w:rsidR="00707CED" w:rsidRDefault="00707CED" w:rsidP="0063341F">
      <w:pPr>
        <w:spacing w:after="0"/>
        <w:rPr>
          <w:szCs w:val="22"/>
        </w:rPr>
      </w:pPr>
      <w:r>
        <w:rPr>
          <w:szCs w:val="22"/>
        </w:rPr>
        <w:t>The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governing </w:t>
      </w:r>
      <w:r w:rsidR="006C5D6E">
        <w:rPr>
          <w:szCs w:val="22"/>
        </w:rPr>
        <w:t>R</w:t>
      </w:r>
      <w:r w:rsidR="00972376">
        <w:rPr>
          <w:szCs w:val="22"/>
        </w:rPr>
        <w:t>M</w:t>
      </w:r>
      <w:r w:rsidR="006C5D6E">
        <w:rPr>
          <w:szCs w:val="22"/>
        </w:rPr>
        <w:t>D</w:t>
      </w:r>
      <w:r>
        <w:rPr>
          <w:szCs w:val="22"/>
        </w:rPr>
        <w:t>s is as follows:</w:t>
      </w:r>
    </w:p>
    <w:p w14:paraId="7530A37D" w14:textId="77777777" w:rsidR="0063341F" w:rsidRDefault="0063341F" w:rsidP="0063341F">
      <w:pPr>
        <w:spacing w:after="0"/>
        <w:rPr>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7"/>
        <w:gridCol w:w="1514"/>
        <w:gridCol w:w="1367"/>
        <w:gridCol w:w="1760"/>
        <w:gridCol w:w="1258"/>
        <w:gridCol w:w="1512"/>
      </w:tblGrid>
      <w:tr w:rsidR="0063341F" w:rsidRPr="0063341F" w14:paraId="3541B3C8" w14:textId="77777777" w:rsidTr="006D389B">
        <w:trPr>
          <w:trHeight w:val="177"/>
          <w:jc w:val="center"/>
        </w:trPr>
        <w:tc>
          <w:tcPr>
            <w:tcW w:w="8688" w:type="dxa"/>
            <w:gridSpan w:val="6"/>
            <w:tcBorders>
              <w:top w:val="single" w:sz="12" w:space="0" w:color="auto"/>
              <w:left w:val="single" w:sz="12" w:space="0" w:color="auto"/>
              <w:bottom w:val="single" w:sz="12" w:space="0" w:color="auto"/>
              <w:right w:val="single" w:sz="12" w:space="0" w:color="auto"/>
              <w:tl2br w:val="nil"/>
              <w:tr2bl w:val="nil"/>
            </w:tcBorders>
            <w:shd w:val="clear" w:color="auto" w:fill="E3F4FF"/>
          </w:tcPr>
          <w:p w14:paraId="65FCFB4D" w14:textId="77777777" w:rsidR="0063341F" w:rsidRPr="0063341F" w:rsidRDefault="0063341F" w:rsidP="0063341F">
            <w:pPr>
              <w:pStyle w:val="WTableHeaderChar"/>
            </w:pPr>
            <w:r w:rsidRPr="0063341F">
              <w:t xml:space="preserve">Uniform Lifetime </w:t>
            </w:r>
            <w:r w:rsidRPr="009857D9">
              <w:t>Table</w:t>
            </w:r>
            <w:r w:rsidR="00A95039">
              <w:fldChar w:fldCharType="begin"/>
            </w:r>
            <w:r w:rsidR="00293611">
              <w:instrText xml:space="preserve"> XE "</w:instrText>
            </w:r>
            <w:r w:rsidR="00293611" w:rsidRPr="006D389B">
              <w:rPr>
                <w:szCs w:val="22"/>
              </w:rPr>
              <w:instrText>Uniform Lifetime Table</w:instrText>
            </w:r>
            <w:r w:rsidR="00293611">
              <w:instrText xml:space="preserve">" </w:instrText>
            </w:r>
            <w:r w:rsidR="00A95039">
              <w:fldChar w:fldCharType="end"/>
            </w:r>
          </w:p>
        </w:tc>
      </w:tr>
      <w:tr w:rsidR="0063341F" w:rsidRPr="0063341F" w14:paraId="2F909EA3" w14:textId="77777777" w:rsidTr="006D389B">
        <w:trPr>
          <w:trHeight w:val="510"/>
          <w:jc w:val="center"/>
        </w:trPr>
        <w:tc>
          <w:tcPr>
            <w:tcW w:w="1277" w:type="dxa"/>
            <w:tcBorders>
              <w:bottom w:val="single" w:sz="6" w:space="0" w:color="auto"/>
              <w:right w:val="single" w:sz="6" w:space="0" w:color="auto"/>
            </w:tcBorders>
          </w:tcPr>
          <w:p w14:paraId="349ACE55" w14:textId="77777777" w:rsidR="0063341F" w:rsidRPr="0063341F" w:rsidRDefault="0063341F" w:rsidP="0063341F">
            <w:pPr>
              <w:pStyle w:val="wTableSections"/>
            </w:pPr>
            <w:r w:rsidRPr="0063341F">
              <w:t>Age of</w:t>
            </w:r>
            <w:r w:rsidRPr="0063341F">
              <w:br/>
              <w:t>Employee</w:t>
            </w:r>
          </w:p>
        </w:tc>
        <w:tc>
          <w:tcPr>
            <w:tcW w:w="1514" w:type="dxa"/>
            <w:tcBorders>
              <w:left w:val="single" w:sz="6" w:space="0" w:color="auto"/>
              <w:bottom w:val="single" w:sz="6" w:space="0" w:color="auto"/>
              <w:right w:val="single" w:sz="6" w:space="0" w:color="auto"/>
            </w:tcBorders>
          </w:tcPr>
          <w:p w14:paraId="31EA6214" w14:textId="77777777" w:rsidR="0063341F" w:rsidRPr="0063341F" w:rsidRDefault="0063341F" w:rsidP="0063341F">
            <w:pPr>
              <w:pStyle w:val="wTableSections"/>
            </w:pPr>
            <w:r w:rsidRPr="0063341F">
              <w:t>Distribution</w:t>
            </w:r>
            <w:r w:rsidRPr="0063341F">
              <w:br/>
              <w:t>Period</w:t>
            </w:r>
          </w:p>
        </w:tc>
        <w:tc>
          <w:tcPr>
            <w:tcW w:w="1367" w:type="dxa"/>
            <w:tcBorders>
              <w:left w:val="single" w:sz="6" w:space="0" w:color="auto"/>
              <w:bottom w:val="single" w:sz="6" w:space="0" w:color="auto"/>
              <w:right w:val="single" w:sz="6" w:space="0" w:color="auto"/>
            </w:tcBorders>
          </w:tcPr>
          <w:p w14:paraId="07C172E2" w14:textId="77777777" w:rsidR="0063341F" w:rsidRPr="0063341F" w:rsidRDefault="0063341F" w:rsidP="0063341F">
            <w:pPr>
              <w:pStyle w:val="wTableSections"/>
            </w:pPr>
            <w:r w:rsidRPr="0063341F">
              <w:t>Age of</w:t>
            </w:r>
            <w:r w:rsidRPr="0063341F">
              <w:br/>
              <w:t>Employee</w:t>
            </w:r>
          </w:p>
        </w:tc>
        <w:tc>
          <w:tcPr>
            <w:tcW w:w="1760" w:type="dxa"/>
            <w:tcBorders>
              <w:left w:val="single" w:sz="6" w:space="0" w:color="auto"/>
              <w:bottom w:val="single" w:sz="6" w:space="0" w:color="auto"/>
              <w:right w:val="single" w:sz="6" w:space="0" w:color="auto"/>
            </w:tcBorders>
          </w:tcPr>
          <w:p w14:paraId="236104DF" w14:textId="77777777" w:rsidR="0063341F" w:rsidRPr="0063341F" w:rsidRDefault="0063341F" w:rsidP="0063341F">
            <w:pPr>
              <w:pStyle w:val="wTableSections"/>
            </w:pPr>
            <w:r w:rsidRPr="0063341F">
              <w:t>Distribution</w:t>
            </w:r>
            <w:r w:rsidRPr="0063341F">
              <w:br/>
              <w:t>Period</w:t>
            </w:r>
          </w:p>
        </w:tc>
        <w:tc>
          <w:tcPr>
            <w:tcW w:w="1258" w:type="dxa"/>
            <w:tcBorders>
              <w:left w:val="single" w:sz="6" w:space="0" w:color="auto"/>
              <w:bottom w:val="single" w:sz="6" w:space="0" w:color="auto"/>
              <w:right w:val="single" w:sz="6" w:space="0" w:color="auto"/>
            </w:tcBorders>
          </w:tcPr>
          <w:p w14:paraId="5C049E66" w14:textId="77777777" w:rsidR="0063341F" w:rsidRPr="0063341F" w:rsidRDefault="0063341F" w:rsidP="0063341F">
            <w:pPr>
              <w:pStyle w:val="wTableSections"/>
            </w:pPr>
            <w:r w:rsidRPr="0063341F">
              <w:t>Age of</w:t>
            </w:r>
            <w:r w:rsidRPr="0063341F">
              <w:br/>
              <w:t>Employee</w:t>
            </w:r>
          </w:p>
        </w:tc>
        <w:tc>
          <w:tcPr>
            <w:tcW w:w="1512" w:type="dxa"/>
            <w:tcBorders>
              <w:left w:val="single" w:sz="6" w:space="0" w:color="auto"/>
              <w:bottom w:val="single" w:sz="6" w:space="0" w:color="auto"/>
            </w:tcBorders>
          </w:tcPr>
          <w:p w14:paraId="383DA285" w14:textId="77777777" w:rsidR="0063341F" w:rsidRPr="0063341F" w:rsidRDefault="0063341F" w:rsidP="0063341F">
            <w:pPr>
              <w:pStyle w:val="wTableSections"/>
            </w:pPr>
            <w:r w:rsidRPr="0063341F">
              <w:t>Distribution</w:t>
            </w:r>
            <w:r w:rsidRPr="0063341F">
              <w:br/>
              <w:t>Period</w:t>
            </w:r>
          </w:p>
        </w:tc>
      </w:tr>
      <w:tr w:rsidR="007A6E0D" w:rsidRPr="0063341F" w14:paraId="1A436382" w14:textId="77777777" w:rsidTr="006D389B">
        <w:trPr>
          <w:jc w:val="center"/>
        </w:trPr>
        <w:tc>
          <w:tcPr>
            <w:tcW w:w="1277" w:type="dxa"/>
            <w:tcBorders>
              <w:top w:val="single" w:sz="6" w:space="0" w:color="auto"/>
              <w:bottom w:val="single" w:sz="6" w:space="0" w:color="auto"/>
              <w:right w:val="single" w:sz="6" w:space="0" w:color="auto"/>
            </w:tcBorders>
          </w:tcPr>
          <w:p w14:paraId="5A229048" w14:textId="77777777" w:rsidR="007A6E0D" w:rsidRPr="0063341F" w:rsidRDefault="007A6E0D" w:rsidP="006D389B">
            <w:pPr>
              <w:pStyle w:val="wTableNormal"/>
              <w:jc w:val="center"/>
            </w:pPr>
            <w:r w:rsidRPr="0063341F">
              <w:t>70</w:t>
            </w:r>
          </w:p>
        </w:tc>
        <w:tc>
          <w:tcPr>
            <w:tcW w:w="1514" w:type="dxa"/>
            <w:tcBorders>
              <w:top w:val="single" w:sz="6" w:space="0" w:color="auto"/>
              <w:left w:val="single" w:sz="6" w:space="0" w:color="auto"/>
              <w:bottom w:val="single" w:sz="6" w:space="0" w:color="auto"/>
              <w:right w:val="single" w:sz="6" w:space="0" w:color="auto"/>
            </w:tcBorders>
          </w:tcPr>
          <w:p w14:paraId="7B05F56A" w14:textId="77777777" w:rsidR="007A6E0D" w:rsidRPr="0063341F" w:rsidRDefault="007A6E0D" w:rsidP="006D389B">
            <w:pPr>
              <w:pStyle w:val="wTableNormal"/>
              <w:jc w:val="center"/>
            </w:pPr>
            <w:r w:rsidRPr="0063341F">
              <w:t>27.4</w:t>
            </w:r>
          </w:p>
        </w:tc>
        <w:tc>
          <w:tcPr>
            <w:tcW w:w="1367" w:type="dxa"/>
            <w:tcBorders>
              <w:top w:val="single" w:sz="6" w:space="0" w:color="auto"/>
              <w:left w:val="single" w:sz="6" w:space="0" w:color="auto"/>
              <w:bottom w:val="single" w:sz="6" w:space="0" w:color="auto"/>
              <w:right w:val="single" w:sz="6" w:space="0" w:color="auto"/>
            </w:tcBorders>
          </w:tcPr>
          <w:p w14:paraId="2EA4ECDA" w14:textId="77777777" w:rsidR="007A6E0D" w:rsidRPr="0063341F" w:rsidRDefault="007A6E0D" w:rsidP="006D389B">
            <w:pPr>
              <w:pStyle w:val="wTableNormal"/>
              <w:jc w:val="center"/>
            </w:pPr>
            <w:r w:rsidRPr="0063341F">
              <w:t>86</w:t>
            </w:r>
          </w:p>
        </w:tc>
        <w:tc>
          <w:tcPr>
            <w:tcW w:w="1760" w:type="dxa"/>
            <w:tcBorders>
              <w:top w:val="single" w:sz="6" w:space="0" w:color="auto"/>
              <w:left w:val="single" w:sz="6" w:space="0" w:color="auto"/>
              <w:bottom w:val="single" w:sz="6" w:space="0" w:color="auto"/>
              <w:right w:val="single" w:sz="6" w:space="0" w:color="auto"/>
            </w:tcBorders>
          </w:tcPr>
          <w:p w14:paraId="081F3F17" w14:textId="77777777" w:rsidR="007A6E0D" w:rsidRPr="0063341F" w:rsidRDefault="007A6E0D" w:rsidP="006D389B">
            <w:pPr>
              <w:pStyle w:val="wTableNormal"/>
              <w:jc w:val="center"/>
            </w:pPr>
            <w:r w:rsidRPr="0063341F">
              <w:t>14.1</w:t>
            </w:r>
          </w:p>
        </w:tc>
        <w:tc>
          <w:tcPr>
            <w:tcW w:w="1258" w:type="dxa"/>
            <w:tcBorders>
              <w:top w:val="single" w:sz="6" w:space="0" w:color="auto"/>
              <w:left w:val="single" w:sz="6" w:space="0" w:color="auto"/>
              <w:bottom w:val="single" w:sz="6" w:space="0" w:color="auto"/>
              <w:right w:val="single" w:sz="6" w:space="0" w:color="auto"/>
            </w:tcBorders>
          </w:tcPr>
          <w:p w14:paraId="31C40B4E" w14:textId="77777777" w:rsidR="007A6E0D" w:rsidRPr="0063341F" w:rsidRDefault="007A6E0D" w:rsidP="006D389B">
            <w:pPr>
              <w:pStyle w:val="wTableNormal"/>
              <w:jc w:val="center"/>
            </w:pPr>
            <w:r w:rsidRPr="0063341F">
              <w:t>101</w:t>
            </w:r>
          </w:p>
        </w:tc>
        <w:tc>
          <w:tcPr>
            <w:tcW w:w="1512" w:type="dxa"/>
            <w:tcBorders>
              <w:top w:val="single" w:sz="6" w:space="0" w:color="auto"/>
              <w:left w:val="single" w:sz="6" w:space="0" w:color="auto"/>
              <w:bottom w:val="single" w:sz="6" w:space="0" w:color="auto"/>
            </w:tcBorders>
          </w:tcPr>
          <w:p w14:paraId="48F280C8" w14:textId="77777777" w:rsidR="007A6E0D" w:rsidRPr="0063341F" w:rsidRDefault="007A6E0D" w:rsidP="006D389B">
            <w:pPr>
              <w:pStyle w:val="wTableNormal"/>
              <w:jc w:val="center"/>
            </w:pPr>
            <w:r w:rsidRPr="0063341F">
              <w:t>5.9</w:t>
            </w:r>
          </w:p>
        </w:tc>
      </w:tr>
      <w:tr w:rsidR="007A6E0D" w:rsidRPr="0063341F" w14:paraId="70A3884F" w14:textId="77777777" w:rsidTr="006D389B">
        <w:trPr>
          <w:jc w:val="center"/>
        </w:trPr>
        <w:tc>
          <w:tcPr>
            <w:tcW w:w="1277" w:type="dxa"/>
            <w:tcBorders>
              <w:top w:val="single" w:sz="6" w:space="0" w:color="auto"/>
              <w:bottom w:val="single" w:sz="6" w:space="0" w:color="auto"/>
              <w:right w:val="single" w:sz="6" w:space="0" w:color="auto"/>
            </w:tcBorders>
          </w:tcPr>
          <w:p w14:paraId="264D2674" w14:textId="77777777" w:rsidR="007A6E0D" w:rsidRPr="0063341F" w:rsidRDefault="007A6E0D" w:rsidP="006D389B">
            <w:pPr>
              <w:pStyle w:val="wTableNormal"/>
              <w:jc w:val="center"/>
            </w:pPr>
            <w:r w:rsidRPr="0063341F">
              <w:t>71</w:t>
            </w:r>
          </w:p>
        </w:tc>
        <w:tc>
          <w:tcPr>
            <w:tcW w:w="1514" w:type="dxa"/>
            <w:tcBorders>
              <w:top w:val="single" w:sz="6" w:space="0" w:color="auto"/>
              <w:left w:val="single" w:sz="6" w:space="0" w:color="auto"/>
              <w:bottom w:val="single" w:sz="6" w:space="0" w:color="auto"/>
              <w:right w:val="single" w:sz="6" w:space="0" w:color="auto"/>
            </w:tcBorders>
          </w:tcPr>
          <w:p w14:paraId="78C8FAC4" w14:textId="77777777" w:rsidR="007A6E0D" w:rsidRPr="0063341F" w:rsidRDefault="007A6E0D" w:rsidP="006D389B">
            <w:pPr>
              <w:pStyle w:val="wTableNormal"/>
              <w:jc w:val="center"/>
            </w:pPr>
            <w:r w:rsidRPr="0063341F">
              <w:t>26.5</w:t>
            </w:r>
          </w:p>
        </w:tc>
        <w:tc>
          <w:tcPr>
            <w:tcW w:w="1367" w:type="dxa"/>
            <w:tcBorders>
              <w:top w:val="single" w:sz="6" w:space="0" w:color="auto"/>
              <w:left w:val="single" w:sz="6" w:space="0" w:color="auto"/>
              <w:bottom w:val="single" w:sz="6" w:space="0" w:color="auto"/>
              <w:right w:val="single" w:sz="6" w:space="0" w:color="auto"/>
            </w:tcBorders>
          </w:tcPr>
          <w:p w14:paraId="51492E1C" w14:textId="77777777" w:rsidR="007A6E0D" w:rsidRPr="0063341F" w:rsidRDefault="007A6E0D" w:rsidP="006D389B">
            <w:pPr>
              <w:pStyle w:val="wTableNormal"/>
              <w:jc w:val="center"/>
            </w:pPr>
            <w:r w:rsidRPr="0063341F">
              <w:t>87</w:t>
            </w:r>
          </w:p>
        </w:tc>
        <w:tc>
          <w:tcPr>
            <w:tcW w:w="1760" w:type="dxa"/>
            <w:tcBorders>
              <w:top w:val="single" w:sz="6" w:space="0" w:color="auto"/>
              <w:left w:val="single" w:sz="6" w:space="0" w:color="auto"/>
              <w:bottom w:val="single" w:sz="6" w:space="0" w:color="auto"/>
              <w:right w:val="single" w:sz="6" w:space="0" w:color="auto"/>
            </w:tcBorders>
          </w:tcPr>
          <w:p w14:paraId="7F7ABA37" w14:textId="77777777" w:rsidR="007A6E0D" w:rsidRPr="0063341F" w:rsidRDefault="007A6E0D" w:rsidP="006D389B">
            <w:pPr>
              <w:pStyle w:val="wTableNormal"/>
              <w:jc w:val="center"/>
            </w:pPr>
            <w:r w:rsidRPr="0063341F">
              <w:t>13.4</w:t>
            </w:r>
          </w:p>
        </w:tc>
        <w:tc>
          <w:tcPr>
            <w:tcW w:w="1258" w:type="dxa"/>
            <w:tcBorders>
              <w:top w:val="single" w:sz="6" w:space="0" w:color="auto"/>
              <w:left w:val="single" w:sz="6" w:space="0" w:color="auto"/>
              <w:bottom w:val="single" w:sz="6" w:space="0" w:color="auto"/>
              <w:right w:val="single" w:sz="6" w:space="0" w:color="auto"/>
            </w:tcBorders>
          </w:tcPr>
          <w:p w14:paraId="2246CC37" w14:textId="77777777" w:rsidR="007A6E0D" w:rsidRPr="0063341F" w:rsidRDefault="007A6E0D" w:rsidP="006D389B">
            <w:pPr>
              <w:pStyle w:val="wTableNormal"/>
              <w:jc w:val="center"/>
            </w:pPr>
            <w:r w:rsidRPr="0063341F">
              <w:t>102</w:t>
            </w:r>
          </w:p>
        </w:tc>
        <w:tc>
          <w:tcPr>
            <w:tcW w:w="1512" w:type="dxa"/>
            <w:tcBorders>
              <w:top w:val="single" w:sz="6" w:space="0" w:color="auto"/>
              <w:left w:val="single" w:sz="6" w:space="0" w:color="auto"/>
              <w:bottom w:val="single" w:sz="6" w:space="0" w:color="auto"/>
            </w:tcBorders>
          </w:tcPr>
          <w:p w14:paraId="111513C1" w14:textId="77777777" w:rsidR="007A6E0D" w:rsidRPr="0063341F" w:rsidRDefault="007A6E0D" w:rsidP="006D389B">
            <w:pPr>
              <w:pStyle w:val="wTableNormal"/>
              <w:jc w:val="center"/>
            </w:pPr>
            <w:r w:rsidRPr="0063341F">
              <w:t>5.5</w:t>
            </w:r>
          </w:p>
        </w:tc>
      </w:tr>
      <w:tr w:rsidR="007A6E0D" w:rsidRPr="0063341F" w14:paraId="0F319CEF" w14:textId="77777777" w:rsidTr="006D389B">
        <w:trPr>
          <w:jc w:val="center"/>
        </w:trPr>
        <w:tc>
          <w:tcPr>
            <w:tcW w:w="1277" w:type="dxa"/>
            <w:tcBorders>
              <w:top w:val="single" w:sz="6" w:space="0" w:color="auto"/>
              <w:bottom w:val="single" w:sz="6" w:space="0" w:color="auto"/>
              <w:right w:val="single" w:sz="6" w:space="0" w:color="auto"/>
            </w:tcBorders>
          </w:tcPr>
          <w:p w14:paraId="4CB13D8D" w14:textId="77777777" w:rsidR="007A6E0D" w:rsidRPr="0063341F" w:rsidRDefault="007A6E0D" w:rsidP="006D389B">
            <w:pPr>
              <w:pStyle w:val="wTableNormal"/>
              <w:jc w:val="center"/>
            </w:pPr>
            <w:r w:rsidRPr="0063341F">
              <w:t>72</w:t>
            </w:r>
          </w:p>
        </w:tc>
        <w:tc>
          <w:tcPr>
            <w:tcW w:w="1514" w:type="dxa"/>
            <w:tcBorders>
              <w:top w:val="single" w:sz="6" w:space="0" w:color="auto"/>
              <w:left w:val="single" w:sz="6" w:space="0" w:color="auto"/>
              <w:bottom w:val="single" w:sz="6" w:space="0" w:color="auto"/>
              <w:right w:val="single" w:sz="6" w:space="0" w:color="auto"/>
            </w:tcBorders>
          </w:tcPr>
          <w:p w14:paraId="469337FE" w14:textId="77777777" w:rsidR="007A6E0D" w:rsidRPr="0063341F" w:rsidRDefault="007A6E0D" w:rsidP="006D389B">
            <w:pPr>
              <w:pStyle w:val="wTableNormal"/>
              <w:jc w:val="center"/>
            </w:pPr>
            <w:r w:rsidRPr="0063341F">
              <w:t>25.6</w:t>
            </w:r>
          </w:p>
        </w:tc>
        <w:tc>
          <w:tcPr>
            <w:tcW w:w="1367" w:type="dxa"/>
            <w:tcBorders>
              <w:top w:val="single" w:sz="6" w:space="0" w:color="auto"/>
              <w:left w:val="single" w:sz="6" w:space="0" w:color="auto"/>
              <w:bottom w:val="single" w:sz="6" w:space="0" w:color="auto"/>
              <w:right w:val="single" w:sz="6" w:space="0" w:color="auto"/>
            </w:tcBorders>
          </w:tcPr>
          <w:p w14:paraId="18D7E916" w14:textId="77777777" w:rsidR="007A6E0D" w:rsidRPr="0063341F" w:rsidRDefault="007A6E0D" w:rsidP="006D389B">
            <w:pPr>
              <w:pStyle w:val="wTableNormal"/>
              <w:jc w:val="center"/>
            </w:pPr>
            <w:r w:rsidRPr="0063341F">
              <w:t>88</w:t>
            </w:r>
          </w:p>
        </w:tc>
        <w:tc>
          <w:tcPr>
            <w:tcW w:w="1760" w:type="dxa"/>
            <w:tcBorders>
              <w:top w:val="single" w:sz="6" w:space="0" w:color="auto"/>
              <w:left w:val="single" w:sz="6" w:space="0" w:color="auto"/>
              <w:bottom w:val="single" w:sz="6" w:space="0" w:color="auto"/>
              <w:right w:val="single" w:sz="6" w:space="0" w:color="auto"/>
            </w:tcBorders>
          </w:tcPr>
          <w:p w14:paraId="2E15B45B" w14:textId="77777777" w:rsidR="007A6E0D" w:rsidRPr="0063341F" w:rsidRDefault="007A6E0D" w:rsidP="006D389B">
            <w:pPr>
              <w:pStyle w:val="wTableNormal"/>
              <w:jc w:val="center"/>
            </w:pPr>
            <w:r w:rsidRPr="0063341F">
              <w:t>12.7</w:t>
            </w:r>
          </w:p>
        </w:tc>
        <w:tc>
          <w:tcPr>
            <w:tcW w:w="1258" w:type="dxa"/>
            <w:tcBorders>
              <w:top w:val="single" w:sz="6" w:space="0" w:color="auto"/>
              <w:left w:val="single" w:sz="6" w:space="0" w:color="auto"/>
              <w:bottom w:val="single" w:sz="6" w:space="0" w:color="auto"/>
              <w:right w:val="single" w:sz="6" w:space="0" w:color="auto"/>
            </w:tcBorders>
          </w:tcPr>
          <w:p w14:paraId="11B4C5DA" w14:textId="77777777" w:rsidR="007A6E0D" w:rsidRPr="0063341F" w:rsidRDefault="007A6E0D" w:rsidP="006D389B">
            <w:pPr>
              <w:pStyle w:val="wTableNormal"/>
              <w:jc w:val="center"/>
            </w:pPr>
            <w:r w:rsidRPr="0063341F">
              <w:t>103</w:t>
            </w:r>
          </w:p>
        </w:tc>
        <w:tc>
          <w:tcPr>
            <w:tcW w:w="1512" w:type="dxa"/>
            <w:tcBorders>
              <w:top w:val="single" w:sz="6" w:space="0" w:color="auto"/>
              <w:left w:val="single" w:sz="6" w:space="0" w:color="auto"/>
              <w:bottom w:val="single" w:sz="6" w:space="0" w:color="auto"/>
            </w:tcBorders>
          </w:tcPr>
          <w:p w14:paraId="5F16F7E9" w14:textId="77777777" w:rsidR="007A6E0D" w:rsidRPr="0063341F" w:rsidRDefault="007A6E0D" w:rsidP="006D389B">
            <w:pPr>
              <w:pStyle w:val="wTableNormal"/>
              <w:jc w:val="center"/>
            </w:pPr>
            <w:r w:rsidRPr="0063341F">
              <w:t>5.2</w:t>
            </w:r>
          </w:p>
        </w:tc>
      </w:tr>
      <w:tr w:rsidR="007A6E0D" w:rsidRPr="0063341F" w14:paraId="41ABEC0B" w14:textId="77777777" w:rsidTr="006D389B">
        <w:trPr>
          <w:jc w:val="center"/>
        </w:trPr>
        <w:tc>
          <w:tcPr>
            <w:tcW w:w="1277" w:type="dxa"/>
            <w:tcBorders>
              <w:top w:val="single" w:sz="6" w:space="0" w:color="auto"/>
              <w:bottom w:val="single" w:sz="6" w:space="0" w:color="auto"/>
              <w:right w:val="single" w:sz="6" w:space="0" w:color="auto"/>
            </w:tcBorders>
          </w:tcPr>
          <w:p w14:paraId="7D5E36E4" w14:textId="77777777" w:rsidR="007A6E0D" w:rsidRPr="0063341F" w:rsidRDefault="007A6E0D" w:rsidP="006D389B">
            <w:pPr>
              <w:pStyle w:val="wTableNormal"/>
              <w:jc w:val="center"/>
            </w:pPr>
            <w:r w:rsidRPr="0063341F">
              <w:t>73</w:t>
            </w:r>
          </w:p>
        </w:tc>
        <w:tc>
          <w:tcPr>
            <w:tcW w:w="1514" w:type="dxa"/>
            <w:tcBorders>
              <w:top w:val="single" w:sz="6" w:space="0" w:color="auto"/>
              <w:left w:val="single" w:sz="6" w:space="0" w:color="auto"/>
              <w:bottom w:val="single" w:sz="6" w:space="0" w:color="auto"/>
              <w:right w:val="single" w:sz="6" w:space="0" w:color="auto"/>
            </w:tcBorders>
          </w:tcPr>
          <w:p w14:paraId="226CC044" w14:textId="77777777" w:rsidR="007A6E0D" w:rsidRPr="0063341F" w:rsidRDefault="007A6E0D" w:rsidP="006D389B">
            <w:pPr>
              <w:pStyle w:val="wTableNormal"/>
              <w:jc w:val="center"/>
            </w:pPr>
            <w:r w:rsidRPr="0063341F">
              <w:t>24.7</w:t>
            </w:r>
          </w:p>
        </w:tc>
        <w:tc>
          <w:tcPr>
            <w:tcW w:w="1367" w:type="dxa"/>
            <w:tcBorders>
              <w:top w:val="single" w:sz="6" w:space="0" w:color="auto"/>
              <w:left w:val="single" w:sz="6" w:space="0" w:color="auto"/>
              <w:bottom w:val="single" w:sz="6" w:space="0" w:color="auto"/>
              <w:right w:val="single" w:sz="6" w:space="0" w:color="auto"/>
            </w:tcBorders>
          </w:tcPr>
          <w:p w14:paraId="4118B8DC" w14:textId="77777777" w:rsidR="007A6E0D" w:rsidRPr="0063341F" w:rsidRDefault="007A6E0D" w:rsidP="006D389B">
            <w:pPr>
              <w:pStyle w:val="wTableNormal"/>
              <w:jc w:val="center"/>
            </w:pPr>
            <w:r w:rsidRPr="0063341F">
              <w:t>89</w:t>
            </w:r>
          </w:p>
        </w:tc>
        <w:tc>
          <w:tcPr>
            <w:tcW w:w="1760" w:type="dxa"/>
            <w:tcBorders>
              <w:top w:val="single" w:sz="6" w:space="0" w:color="auto"/>
              <w:left w:val="single" w:sz="6" w:space="0" w:color="auto"/>
              <w:bottom w:val="single" w:sz="6" w:space="0" w:color="auto"/>
              <w:right w:val="single" w:sz="6" w:space="0" w:color="auto"/>
            </w:tcBorders>
          </w:tcPr>
          <w:p w14:paraId="6C78A6B0" w14:textId="77777777" w:rsidR="007A6E0D" w:rsidRPr="0063341F" w:rsidRDefault="007A6E0D" w:rsidP="006D389B">
            <w:pPr>
              <w:pStyle w:val="wTableNormal"/>
              <w:jc w:val="center"/>
            </w:pPr>
            <w:r w:rsidRPr="0063341F">
              <w:t>12.0</w:t>
            </w:r>
          </w:p>
        </w:tc>
        <w:tc>
          <w:tcPr>
            <w:tcW w:w="1258" w:type="dxa"/>
            <w:tcBorders>
              <w:top w:val="single" w:sz="6" w:space="0" w:color="auto"/>
              <w:left w:val="single" w:sz="6" w:space="0" w:color="auto"/>
              <w:bottom w:val="single" w:sz="6" w:space="0" w:color="auto"/>
              <w:right w:val="single" w:sz="6" w:space="0" w:color="auto"/>
            </w:tcBorders>
          </w:tcPr>
          <w:p w14:paraId="6B9F94D0" w14:textId="77777777" w:rsidR="007A6E0D" w:rsidRPr="0063341F" w:rsidRDefault="007A6E0D" w:rsidP="006D389B">
            <w:pPr>
              <w:pStyle w:val="wTableNormal"/>
              <w:jc w:val="center"/>
            </w:pPr>
            <w:r w:rsidRPr="0063341F">
              <w:t>104</w:t>
            </w:r>
          </w:p>
        </w:tc>
        <w:tc>
          <w:tcPr>
            <w:tcW w:w="1512" w:type="dxa"/>
            <w:tcBorders>
              <w:top w:val="single" w:sz="6" w:space="0" w:color="auto"/>
              <w:left w:val="single" w:sz="6" w:space="0" w:color="auto"/>
              <w:bottom w:val="single" w:sz="6" w:space="0" w:color="auto"/>
            </w:tcBorders>
          </w:tcPr>
          <w:p w14:paraId="641CD889" w14:textId="77777777" w:rsidR="007A6E0D" w:rsidRPr="0063341F" w:rsidRDefault="007A6E0D" w:rsidP="006D389B">
            <w:pPr>
              <w:pStyle w:val="wTableNormal"/>
              <w:jc w:val="center"/>
            </w:pPr>
            <w:r w:rsidRPr="0063341F">
              <w:t>4.9</w:t>
            </w:r>
          </w:p>
        </w:tc>
      </w:tr>
      <w:tr w:rsidR="007A6E0D" w:rsidRPr="0063341F" w14:paraId="36E12DA8" w14:textId="77777777" w:rsidTr="006D389B">
        <w:trPr>
          <w:jc w:val="center"/>
        </w:trPr>
        <w:tc>
          <w:tcPr>
            <w:tcW w:w="1277" w:type="dxa"/>
            <w:tcBorders>
              <w:top w:val="single" w:sz="6" w:space="0" w:color="auto"/>
              <w:bottom w:val="single" w:sz="6" w:space="0" w:color="auto"/>
              <w:right w:val="single" w:sz="6" w:space="0" w:color="auto"/>
            </w:tcBorders>
          </w:tcPr>
          <w:p w14:paraId="7B8B2787" w14:textId="77777777" w:rsidR="007A6E0D" w:rsidRPr="0063341F" w:rsidRDefault="007A6E0D" w:rsidP="006D389B">
            <w:pPr>
              <w:pStyle w:val="wTableNormal"/>
              <w:jc w:val="center"/>
            </w:pPr>
            <w:r w:rsidRPr="0063341F">
              <w:t>74</w:t>
            </w:r>
          </w:p>
        </w:tc>
        <w:tc>
          <w:tcPr>
            <w:tcW w:w="1514" w:type="dxa"/>
            <w:tcBorders>
              <w:top w:val="single" w:sz="6" w:space="0" w:color="auto"/>
              <w:left w:val="single" w:sz="6" w:space="0" w:color="auto"/>
              <w:bottom w:val="single" w:sz="6" w:space="0" w:color="auto"/>
              <w:right w:val="single" w:sz="6" w:space="0" w:color="auto"/>
            </w:tcBorders>
          </w:tcPr>
          <w:p w14:paraId="24785577" w14:textId="77777777" w:rsidR="007A6E0D" w:rsidRPr="0063341F" w:rsidRDefault="007A6E0D" w:rsidP="006D389B">
            <w:pPr>
              <w:pStyle w:val="wTableNormal"/>
              <w:jc w:val="center"/>
            </w:pPr>
            <w:r w:rsidRPr="0063341F">
              <w:t>23.8</w:t>
            </w:r>
          </w:p>
        </w:tc>
        <w:tc>
          <w:tcPr>
            <w:tcW w:w="1367" w:type="dxa"/>
            <w:tcBorders>
              <w:top w:val="single" w:sz="6" w:space="0" w:color="auto"/>
              <w:left w:val="single" w:sz="6" w:space="0" w:color="auto"/>
              <w:bottom w:val="single" w:sz="6" w:space="0" w:color="auto"/>
              <w:right w:val="single" w:sz="6" w:space="0" w:color="auto"/>
            </w:tcBorders>
          </w:tcPr>
          <w:p w14:paraId="37736D9A" w14:textId="77777777" w:rsidR="007A6E0D" w:rsidRPr="0063341F" w:rsidRDefault="007A6E0D" w:rsidP="006D389B">
            <w:pPr>
              <w:pStyle w:val="wTableNormal"/>
              <w:jc w:val="center"/>
            </w:pPr>
            <w:r w:rsidRPr="0063341F">
              <w:t>90</w:t>
            </w:r>
          </w:p>
        </w:tc>
        <w:tc>
          <w:tcPr>
            <w:tcW w:w="1760" w:type="dxa"/>
            <w:tcBorders>
              <w:top w:val="single" w:sz="6" w:space="0" w:color="auto"/>
              <w:left w:val="single" w:sz="6" w:space="0" w:color="auto"/>
              <w:bottom w:val="single" w:sz="6" w:space="0" w:color="auto"/>
              <w:right w:val="single" w:sz="6" w:space="0" w:color="auto"/>
            </w:tcBorders>
          </w:tcPr>
          <w:p w14:paraId="62408FB3" w14:textId="77777777" w:rsidR="007A6E0D" w:rsidRPr="0063341F" w:rsidRDefault="007A6E0D" w:rsidP="006D389B">
            <w:pPr>
              <w:pStyle w:val="wTableNormal"/>
              <w:jc w:val="center"/>
            </w:pPr>
            <w:r w:rsidRPr="0063341F">
              <w:t>11.4</w:t>
            </w:r>
          </w:p>
        </w:tc>
        <w:tc>
          <w:tcPr>
            <w:tcW w:w="1258" w:type="dxa"/>
            <w:tcBorders>
              <w:top w:val="single" w:sz="6" w:space="0" w:color="auto"/>
              <w:left w:val="single" w:sz="6" w:space="0" w:color="auto"/>
              <w:bottom w:val="single" w:sz="6" w:space="0" w:color="auto"/>
              <w:right w:val="single" w:sz="6" w:space="0" w:color="auto"/>
            </w:tcBorders>
          </w:tcPr>
          <w:p w14:paraId="61D5AF4D" w14:textId="77777777" w:rsidR="007A6E0D" w:rsidRPr="0063341F" w:rsidRDefault="007A6E0D" w:rsidP="006D389B">
            <w:pPr>
              <w:pStyle w:val="wTableNormal"/>
              <w:jc w:val="center"/>
            </w:pPr>
            <w:r w:rsidRPr="0063341F">
              <w:t>105</w:t>
            </w:r>
          </w:p>
        </w:tc>
        <w:tc>
          <w:tcPr>
            <w:tcW w:w="1512" w:type="dxa"/>
            <w:tcBorders>
              <w:top w:val="single" w:sz="6" w:space="0" w:color="auto"/>
              <w:left w:val="single" w:sz="6" w:space="0" w:color="auto"/>
              <w:bottom w:val="single" w:sz="6" w:space="0" w:color="auto"/>
            </w:tcBorders>
          </w:tcPr>
          <w:p w14:paraId="5DB2FEAD" w14:textId="77777777" w:rsidR="007A6E0D" w:rsidRPr="0063341F" w:rsidRDefault="007A6E0D" w:rsidP="006D389B">
            <w:pPr>
              <w:pStyle w:val="wTableNormal"/>
              <w:jc w:val="center"/>
            </w:pPr>
            <w:r w:rsidRPr="0063341F">
              <w:t>4.5</w:t>
            </w:r>
          </w:p>
        </w:tc>
      </w:tr>
      <w:tr w:rsidR="007A6E0D" w:rsidRPr="0063341F" w14:paraId="1D5391D0" w14:textId="77777777" w:rsidTr="006D389B">
        <w:trPr>
          <w:jc w:val="center"/>
        </w:trPr>
        <w:tc>
          <w:tcPr>
            <w:tcW w:w="1277" w:type="dxa"/>
            <w:tcBorders>
              <w:top w:val="single" w:sz="6" w:space="0" w:color="auto"/>
              <w:bottom w:val="single" w:sz="6" w:space="0" w:color="auto"/>
              <w:right w:val="single" w:sz="6" w:space="0" w:color="auto"/>
            </w:tcBorders>
          </w:tcPr>
          <w:p w14:paraId="77A154B4" w14:textId="77777777" w:rsidR="007A6E0D" w:rsidRPr="0063341F" w:rsidRDefault="007A6E0D" w:rsidP="006D389B">
            <w:pPr>
              <w:pStyle w:val="wTableNormal"/>
              <w:jc w:val="center"/>
            </w:pPr>
            <w:r w:rsidRPr="0063341F">
              <w:t>75</w:t>
            </w:r>
          </w:p>
        </w:tc>
        <w:tc>
          <w:tcPr>
            <w:tcW w:w="1514" w:type="dxa"/>
            <w:tcBorders>
              <w:top w:val="single" w:sz="6" w:space="0" w:color="auto"/>
              <w:left w:val="single" w:sz="6" w:space="0" w:color="auto"/>
              <w:bottom w:val="single" w:sz="6" w:space="0" w:color="auto"/>
              <w:right w:val="single" w:sz="6" w:space="0" w:color="auto"/>
            </w:tcBorders>
          </w:tcPr>
          <w:p w14:paraId="033B72F5" w14:textId="77777777" w:rsidR="007A6E0D" w:rsidRPr="0063341F" w:rsidRDefault="007A6E0D" w:rsidP="006D389B">
            <w:pPr>
              <w:pStyle w:val="wTableNormal"/>
              <w:jc w:val="center"/>
            </w:pPr>
            <w:r w:rsidRPr="0063341F">
              <w:t>22.9</w:t>
            </w:r>
          </w:p>
        </w:tc>
        <w:tc>
          <w:tcPr>
            <w:tcW w:w="1367" w:type="dxa"/>
            <w:tcBorders>
              <w:top w:val="single" w:sz="6" w:space="0" w:color="auto"/>
              <w:left w:val="single" w:sz="6" w:space="0" w:color="auto"/>
              <w:bottom w:val="single" w:sz="6" w:space="0" w:color="auto"/>
              <w:right w:val="single" w:sz="6" w:space="0" w:color="auto"/>
            </w:tcBorders>
          </w:tcPr>
          <w:p w14:paraId="1AB5D455" w14:textId="77777777" w:rsidR="007A6E0D" w:rsidRPr="0063341F" w:rsidRDefault="007A6E0D" w:rsidP="006D389B">
            <w:pPr>
              <w:pStyle w:val="wTableNormal"/>
              <w:jc w:val="center"/>
            </w:pPr>
            <w:r w:rsidRPr="0063341F">
              <w:t>91</w:t>
            </w:r>
          </w:p>
        </w:tc>
        <w:tc>
          <w:tcPr>
            <w:tcW w:w="1760" w:type="dxa"/>
            <w:tcBorders>
              <w:top w:val="single" w:sz="6" w:space="0" w:color="auto"/>
              <w:left w:val="single" w:sz="6" w:space="0" w:color="auto"/>
              <w:bottom w:val="single" w:sz="6" w:space="0" w:color="auto"/>
              <w:right w:val="single" w:sz="6" w:space="0" w:color="auto"/>
            </w:tcBorders>
          </w:tcPr>
          <w:p w14:paraId="4C9F849E" w14:textId="77777777" w:rsidR="007A6E0D" w:rsidRPr="0063341F" w:rsidRDefault="007A6E0D" w:rsidP="006D389B">
            <w:pPr>
              <w:pStyle w:val="wTableNormal"/>
              <w:jc w:val="center"/>
            </w:pPr>
            <w:r w:rsidRPr="0063341F">
              <w:t>10.8</w:t>
            </w:r>
          </w:p>
        </w:tc>
        <w:tc>
          <w:tcPr>
            <w:tcW w:w="1258" w:type="dxa"/>
            <w:tcBorders>
              <w:top w:val="single" w:sz="6" w:space="0" w:color="auto"/>
              <w:left w:val="single" w:sz="6" w:space="0" w:color="auto"/>
              <w:bottom w:val="single" w:sz="6" w:space="0" w:color="auto"/>
              <w:right w:val="single" w:sz="6" w:space="0" w:color="auto"/>
            </w:tcBorders>
          </w:tcPr>
          <w:p w14:paraId="1EAF73AC" w14:textId="77777777" w:rsidR="007A6E0D" w:rsidRPr="0063341F" w:rsidRDefault="007A6E0D" w:rsidP="006D389B">
            <w:pPr>
              <w:pStyle w:val="wTableNormal"/>
              <w:jc w:val="center"/>
            </w:pPr>
            <w:r w:rsidRPr="0063341F">
              <w:t>106</w:t>
            </w:r>
          </w:p>
        </w:tc>
        <w:tc>
          <w:tcPr>
            <w:tcW w:w="1512" w:type="dxa"/>
            <w:tcBorders>
              <w:top w:val="single" w:sz="6" w:space="0" w:color="auto"/>
              <w:left w:val="single" w:sz="6" w:space="0" w:color="auto"/>
              <w:bottom w:val="single" w:sz="6" w:space="0" w:color="auto"/>
            </w:tcBorders>
          </w:tcPr>
          <w:p w14:paraId="4BF551E5" w14:textId="77777777" w:rsidR="007A6E0D" w:rsidRPr="0063341F" w:rsidRDefault="007A6E0D" w:rsidP="006D389B">
            <w:pPr>
              <w:pStyle w:val="wTableNormal"/>
              <w:jc w:val="center"/>
            </w:pPr>
            <w:r w:rsidRPr="0063341F">
              <w:t>4.2</w:t>
            </w:r>
          </w:p>
        </w:tc>
      </w:tr>
      <w:tr w:rsidR="007A6E0D" w:rsidRPr="0063341F" w14:paraId="03A10D73" w14:textId="77777777" w:rsidTr="006D389B">
        <w:trPr>
          <w:jc w:val="center"/>
        </w:trPr>
        <w:tc>
          <w:tcPr>
            <w:tcW w:w="1277" w:type="dxa"/>
            <w:tcBorders>
              <w:top w:val="single" w:sz="6" w:space="0" w:color="auto"/>
              <w:bottom w:val="single" w:sz="6" w:space="0" w:color="auto"/>
              <w:right w:val="single" w:sz="6" w:space="0" w:color="auto"/>
            </w:tcBorders>
          </w:tcPr>
          <w:p w14:paraId="2A0DA750" w14:textId="77777777" w:rsidR="007A6E0D" w:rsidRPr="0063341F" w:rsidRDefault="007A6E0D" w:rsidP="006D389B">
            <w:pPr>
              <w:pStyle w:val="wTableNormal"/>
              <w:jc w:val="center"/>
            </w:pPr>
            <w:r w:rsidRPr="0063341F">
              <w:t>76</w:t>
            </w:r>
          </w:p>
        </w:tc>
        <w:tc>
          <w:tcPr>
            <w:tcW w:w="1514" w:type="dxa"/>
            <w:tcBorders>
              <w:top w:val="single" w:sz="6" w:space="0" w:color="auto"/>
              <w:left w:val="single" w:sz="6" w:space="0" w:color="auto"/>
              <w:bottom w:val="single" w:sz="6" w:space="0" w:color="auto"/>
              <w:right w:val="single" w:sz="6" w:space="0" w:color="auto"/>
            </w:tcBorders>
          </w:tcPr>
          <w:p w14:paraId="68D87E3A" w14:textId="77777777" w:rsidR="007A6E0D" w:rsidRPr="0063341F" w:rsidRDefault="007A6E0D" w:rsidP="006D389B">
            <w:pPr>
              <w:pStyle w:val="wTableNormal"/>
              <w:jc w:val="center"/>
            </w:pPr>
            <w:r w:rsidRPr="0063341F">
              <w:t>22.0</w:t>
            </w:r>
          </w:p>
        </w:tc>
        <w:tc>
          <w:tcPr>
            <w:tcW w:w="1367" w:type="dxa"/>
            <w:tcBorders>
              <w:top w:val="single" w:sz="6" w:space="0" w:color="auto"/>
              <w:left w:val="single" w:sz="6" w:space="0" w:color="auto"/>
              <w:bottom w:val="single" w:sz="6" w:space="0" w:color="auto"/>
              <w:right w:val="single" w:sz="6" w:space="0" w:color="auto"/>
            </w:tcBorders>
          </w:tcPr>
          <w:p w14:paraId="546F72ED" w14:textId="77777777" w:rsidR="007A6E0D" w:rsidRPr="0063341F" w:rsidRDefault="007A6E0D" w:rsidP="006D389B">
            <w:pPr>
              <w:pStyle w:val="wTableNormal"/>
              <w:jc w:val="center"/>
            </w:pPr>
            <w:r w:rsidRPr="0063341F">
              <w:t>92</w:t>
            </w:r>
          </w:p>
        </w:tc>
        <w:tc>
          <w:tcPr>
            <w:tcW w:w="1760" w:type="dxa"/>
            <w:tcBorders>
              <w:top w:val="single" w:sz="6" w:space="0" w:color="auto"/>
              <w:left w:val="single" w:sz="6" w:space="0" w:color="auto"/>
              <w:bottom w:val="single" w:sz="6" w:space="0" w:color="auto"/>
              <w:right w:val="single" w:sz="6" w:space="0" w:color="auto"/>
            </w:tcBorders>
          </w:tcPr>
          <w:p w14:paraId="5298D19A" w14:textId="77777777" w:rsidR="007A6E0D" w:rsidRPr="0063341F" w:rsidRDefault="007A6E0D" w:rsidP="006D389B">
            <w:pPr>
              <w:pStyle w:val="wTableNormal"/>
              <w:jc w:val="center"/>
            </w:pPr>
            <w:r w:rsidRPr="0063341F">
              <w:t>10.2</w:t>
            </w:r>
          </w:p>
        </w:tc>
        <w:tc>
          <w:tcPr>
            <w:tcW w:w="1258" w:type="dxa"/>
            <w:tcBorders>
              <w:top w:val="single" w:sz="6" w:space="0" w:color="auto"/>
              <w:left w:val="single" w:sz="6" w:space="0" w:color="auto"/>
              <w:bottom w:val="single" w:sz="6" w:space="0" w:color="auto"/>
              <w:right w:val="single" w:sz="6" w:space="0" w:color="auto"/>
            </w:tcBorders>
          </w:tcPr>
          <w:p w14:paraId="4BADE32D" w14:textId="77777777" w:rsidR="007A6E0D" w:rsidRPr="0063341F" w:rsidRDefault="007A6E0D" w:rsidP="006D389B">
            <w:pPr>
              <w:pStyle w:val="wTableNormal"/>
              <w:jc w:val="center"/>
            </w:pPr>
            <w:r w:rsidRPr="0063341F">
              <w:t>107</w:t>
            </w:r>
          </w:p>
        </w:tc>
        <w:tc>
          <w:tcPr>
            <w:tcW w:w="1512" w:type="dxa"/>
            <w:tcBorders>
              <w:top w:val="single" w:sz="6" w:space="0" w:color="auto"/>
              <w:left w:val="single" w:sz="6" w:space="0" w:color="auto"/>
              <w:bottom w:val="single" w:sz="6" w:space="0" w:color="auto"/>
            </w:tcBorders>
          </w:tcPr>
          <w:p w14:paraId="68F11434" w14:textId="77777777" w:rsidR="007A6E0D" w:rsidRPr="0063341F" w:rsidRDefault="007A6E0D" w:rsidP="006D389B">
            <w:pPr>
              <w:pStyle w:val="wTableNormal"/>
              <w:jc w:val="center"/>
            </w:pPr>
            <w:r w:rsidRPr="0063341F">
              <w:t>3.9</w:t>
            </w:r>
          </w:p>
        </w:tc>
      </w:tr>
      <w:tr w:rsidR="007A6E0D" w:rsidRPr="0063341F" w14:paraId="4A760191" w14:textId="77777777" w:rsidTr="006D389B">
        <w:trPr>
          <w:jc w:val="center"/>
        </w:trPr>
        <w:tc>
          <w:tcPr>
            <w:tcW w:w="1277" w:type="dxa"/>
            <w:tcBorders>
              <w:top w:val="single" w:sz="6" w:space="0" w:color="auto"/>
              <w:bottom w:val="single" w:sz="6" w:space="0" w:color="auto"/>
              <w:right w:val="single" w:sz="6" w:space="0" w:color="auto"/>
            </w:tcBorders>
          </w:tcPr>
          <w:p w14:paraId="548DA03C" w14:textId="77777777" w:rsidR="007A6E0D" w:rsidRPr="0063341F" w:rsidRDefault="007A6E0D" w:rsidP="006D389B">
            <w:pPr>
              <w:pStyle w:val="wTableNormal"/>
              <w:jc w:val="center"/>
            </w:pPr>
            <w:r w:rsidRPr="0063341F">
              <w:t>77</w:t>
            </w:r>
          </w:p>
        </w:tc>
        <w:tc>
          <w:tcPr>
            <w:tcW w:w="1514" w:type="dxa"/>
            <w:tcBorders>
              <w:top w:val="single" w:sz="6" w:space="0" w:color="auto"/>
              <w:left w:val="single" w:sz="6" w:space="0" w:color="auto"/>
              <w:bottom w:val="single" w:sz="6" w:space="0" w:color="auto"/>
              <w:right w:val="single" w:sz="6" w:space="0" w:color="auto"/>
            </w:tcBorders>
          </w:tcPr>
          <w:p w14:paraId="5849051F" w14:textId="77777777" w:rsidR="007A6E0D" w:rsidRPr="0063341F" w:rsidRDefault="007A6E0D" w:rsidP="006D389B">
            <w:pPr>
              <w:pStyle w:val="wTableNormal"/>
              <w:jc w:val="center"/>
            </w:pPr>
            <w:r w:rsidRPr="0063341F">
              <w:t>21.2</w:t>
            </w:r>
          </w:p>
        </w:tc>
        <w:tc>
          <w:tcPr>
            <w:tcW w:w="1367" w:type="dxa"/>
            <w:tcBorders>
              <w:top w:val="single" w:sz="6" w:space="0" w:color="auto"/>
              <w:left w:val="single" w:sz="6" w:space="0" w:color="auto"/>
              <w:bottom w:val="single" w:sz="6" w:space="0" w:color="auto"/>
              <w:right w:val="single" w:sz="6" w:space="0" w:color="auto"/>
            </w:tcBorders>
          </w:tcPr>
          <w:p w14:paraId="0456629D" w14:textId="77777777" w:rsidR="007A6E0D" w:rsidRPr="0063341F" w:rsidRDefault="007A6E0D" w:rsidP="006D389B">
            <w:pPr>
              <w:pStyle w:val="wTableNormal"/>
              <w:jc w:val="center"/>
            </w:pPr>
            <w:r w:rsidRPr="0063341F">
              <w:t>93</w:t>
            </w:r>
          </w:p>
        </w:tc>
        <w:tc>
          <w:tcPr>
            <w:tcW w:w="1760" w:type="dxa"/>
            <w:tcBorders>
              <w:top w:val="single" w:sz="6" w:space="0" w:color="auto"/>
              <w:left w:val="single" w:sz="6" w:space="0" w:color="auto"/>
              <w:bottom w:val="single" w:sz="6" w:space="0" w:color="auto"/>
              <w:right w:val="single" w:sz="6" w:space="0" w:color="auto"/>
            </w:tcBorders>
          </w:tcPr>
          <w:p w14:paraId="0111C72E" w14:textId="77777777" w:rsidR="007A6E0D" w:rsidRPr="0063341F" w:rsidRDefault="007A6E0D" w:rsidP="006D389B">
            <w:pPr>
              <w:pStyle w:val="wTableNormal"/>
              <w:jc w:val="center"/>
            </w:pPr>
            <w:r w:rsidRPr="0063341F">
              <w:t>9.6</w:t>
            </w:r>
          </w:p>
        </w:tc>
        <w:tc>
          <w:tcPr>
            <w:tcW w:w="1258" w:type="dxa"/>
            <w:tcBorders>
              <w:top w:val="single" w:sz="6" w:space="0" w:color="auto"/>
              <w:left w:val="single" w:sz="6" w:space="0" w:color="auto"/>
              <w:bottom w:val="single" w:sz="6" w:space="0" w:color="auto"/>
              <w:right w:val="single" w:sz="6" w:space="0" w:color="auto"/>
            </w:tcBorders>
          </w:tcPr>
          <w:p w14:paraId="2212CE49" w14:textId="77777777" w:rsidR="007A6E0D" w:rsidRPr="0063341F" w:rsidRDefault="007A6E0D" w:rsidP="006D389B">
            <w:pPr>
              <w:pStyle w:val="wTableNormal"/>
              <w:jc w:val="center"/>
            </w:pPr>
            <w:r w:rsidRPr="0063341F">
              <w:t>108</w:t>
            </w:r>
          </w:p>
        </w:tc>
        <w:tc>
          <w:tcPr>
            <w:tcW w:w="1512" w:type="dxa"/>
            <w:tcBorders>
              <w:top w:val="single" w:sz="6" w:space="0" w:color="auto"/>
              <w:left w:val="single" w:sz="6" w:space="0" w:color="auto"/>
              <w:bottom w:val="single" w:sz="6" w:space="0" w:color="auto"/>
            </w:tcBorders>
          </w:tcPr>
          <w:p w14:paraId="46807E31" w14:textId="77777777" w:rsidR="007A6E0D" w:rsidRPr="0063341F" w:rsidRDefault="007A6E0D" w:rsidP="006D389B">
            <w:pPr>
              <w:pStyle w:val="wTableNormal"/>
              <w:jc w:val="center"/>
            </w:pPr>
            <w:r w:rsidRPr="0063341F">
              <w:t>3.7</w:t>
            </w:r>
          </w:p>
        </w:tc>
      </w:tr>
      <w:tr w:rsidR="007A6E0D" w:rsidRPr="0063341F" w14:paraId="43FAC464" w14:textId="77777777" w:rsidTr="006D389B">
        <w:trPr>
          <w:jc w:val="center"/>
        </w:trPr>
        <w:tc>
          <w:tcPr>
            <w:tcW w:w="1277" w:type="dxa"/>
            <w:tcBorders>
              <w:top w:val="single" w:sz="6" w:space="0" w:color="auto"/>
              <w:bottom w:val="single" w:sz="6" w:space="0" w:color="auto"/>
              <w:right w:val="single" w:sz="6" w:space="0" w:color="auto"/>
            </w:tcBorders>
          </w:tcPr>
          <w:p w14:paraId="2C26FF14" w14:textId="77777777" w:rsidR="007A6E0D" w:rsidRPr="0063341F" w:rsidRDefault="007A6E0D" w:rsidP="006D389B">
            <w:pPr>
              <w:pStyle w:val="wTableNormal"/>
              <w:jc w:val="center"/>
            </w:pPr>
            <w:r w:rsidRPr="0063341F">
              <w:t>78</w:t>
            </w:r>
          </w:p>
        </w:tc>
        <w:tc>
          <w:tcPr>
            <w:tcW w:w="1514" w:type="dxa"/>
            <w:tcBorders>
              <w:top w:val="single" w:sz="6" w:space="0" w:color="auto"/>
              <w:left w:val="single" w:sz="6" w:space="0" w:color="auto"/>
              <w:bottom w:val="single" w:sz="6" w:space="0" w:color="auto"/>
              <w:right w:val="single" w:sz="6" w:space="0" w:color="auto"/>
            </w:tcBorders>
          </w:tcPr>
          <w:p w14:paraId="6F146F37" w14:textId="77777777" w:rsidR="007A6E0D" w:rsidRPr="0063341F" w:rsidRDefault="007A6E0D" w:rsidP="006D389B">
            <w:pPr>
              <w:pStyle w:val="wTableNormal"/>
              <w:jc w:val="center"/>
            </w:pPr>
            <w:r w:rsidRPr="0063341F">
              <w:t>20.3</w:t>
            </w:r>
          </w:p>
        </w:tc>
        <w:tc>
          <w:tcPr>
            <w:tcW w:w="1367" w:type="dxa"/>
            <w:tcBorders>
              <w:top w:val="single" w:sz="6" w:space="0" w:color="auto"/>
              <w:left w:val="single" w:sz="6" w:space="0" w:color="auto"/>
              <w:bottom w:val="single" w:sz="6" w:space="0" w:color="auto"/>
              <w:right w:val="single" w:sz="6" w:space="0" w:color="auto"/>
            </w:tcBorders>
          </w:tcPr>
          <w:p w14:paraId="7DFB7FB9" w14:textId="77777777" w:rsidR="007A6E0D" w:rsidRPr="0063341F" w:rsidRDefault="007A6E0D" w:rsidP="006D389B">
            <w:pPr>
              <w:pStyle w:val="wTableNormal"/>
              <w:jc w:val="center"/>
            </w:pPr>
            <w:r w:rsidRPr="0063341F">
              <w:t>94</w:t>
            </w:r>
          </w:p>
        </w:tc>
        <w:tc>
          <w:tcPr>
            <w:tcW w:w="1760" w:type="dxa"/>
            <w:tcBorders>
              <w:top w:val="single" w:sz="6" w:space="0" w:color="auto"/>
              <w:left w:val="single" w:sz="6" w:space="0" w:color="auto"/>
              <w:bottom w:val="single" w:sz="6" w:space="0" w:color="auto"/>
              <w:right w:val="single" w:sz="6" w:space="0" w:color="auto"/>
            </w:tcBorders>
          </w:tcPr>
          <w:p w14:paraId="345FC808" w14:textId="77777777" w:rsidR="007A6E0D" w:rsidRPr="0063341F" w:rsidRDefault="007A6E0D" w:rsidP="006D389B">
            <w:pPr>
              <w:pStyle w:val="wTableNormal"/>
              <w:jc w:val="center"/>
            </w:pPr>
            <w:r w:rsidRPr="0063341F">
              <w:t>9.1</w:t>
            </w:r>
          </w:p>
        </w:tc>
        <w:tc>
          <w:tcPr>
            <w:tcW w:w="1258" w:type="dxa"/>
            <w:tcBorders>
              <w:top w:val="single" w:sz="6" w:space="0" w:color="auto"/>
              <w:left w:val="single" w:sz="6" w:space="0" w:color="auto"/>
              <w:bottom w:val="single" w:sz="6" w:space="0" w:color="auto"/>
              <w:right w:val="single" w:sz="6" w:space="0" w:color="auto"/>
            </w:tcBorders>
          </w:tcPr>
          <w:p w14:paraId="59899D11" w14:textId="77777777" w:rsidR="007A6E0D" w:rsidRPr="0063341F" w:rsidRDefault="007A6E0D" w:rsidP="006D389B">
            <w:pPr>
              <w:pStyle w:val="wTableNormal"/>
              <w:jc w:val="center"/>
            </w:pPr>
            <w:r w:rsidRPr="0063341F">
              <w:t>109</w:t>
            </w:r>
          </w:p>
        </w:tc>
        <w:tc>
          <w:tcPr>
            <w:tcW w:w="1512" w:type="dxa"/>
            <w:tcBorders>
              <w:top w:val="single" w:sz="6" w:space="0" w:color="auto"/>
              <w:left w:val="single" w:sz="6" w:space="0" w:color="auto"/>
              <w:bottom w:val="single" w:sz="6" w:space="0" w:color="auto"/>
            </w:tcBorders>
          </w:tcPr>
          <w:p w14:paraId="0F5B7DEE" w14:textId="77777777" w:rsidR="007A6E0D" w:rsidRPr="0063341F" w:rsidRDefault="007A6E0D" w:rsidP="006D389B">
            <w:pPr>
              <w:pStyle w:val="wTableNormal"/>
              <w:jc w:val="center"/>
            </w:pPr>
            <w:r w:rsidRPr="0063341F">
              <w:t>3.4</w:t>
            </w:r>
          </w:p>
        </w:tc>
      </w:tr>
      <w:tr w:rsidR="007A6E0D" w:rsidRPr="0063341F" w14:paraId="40D197B6" w14:textId="77777777" w:rsidTr="006D389B">
        <w:trPr>
          <w:jc w:val="center"/>
        </w:trPr>
        <w:tc>
          <w:tcPr>
            <w:tcW w:w="1277" w:type="dxa"/>
            <w:tcBorders>
              <w:top w:val="single" w:sz="6" w:space="0" w:color="auto"/>
              <w:bottom w:val="single" w:sz="6" w:space="0" w:color="auto"/>
              <w:right w:val="single" w:sz="6" w:space="0" w:color="auto"/>
            </w:tcBorders>
          </w:tcPr>
          <w:p w14:paraId="064CFB43" w14:textId="77777777" w:rsidR="007A6E0D" w:rsidRPr="0063341F" w:rsidRDefault="007A6E0D" w:rsidP="006D389B">
            <w:pPr>
              <w:pStyle w:val="wTableNormal"/>
              <w:jc w:val="center"/>
            </w:pPr>
            <w:r w:rsidRPr="0063341F">
              <w:t>79</w:t>
            </w:r>
          </w:p>
        </w:tc>
        <w:tc>
          <w:tcPr>
            <w:tcW w:w="1514" w:type="dxa"/>
            <w:tcBorders>
              <w:top w:val="single" w:sz="6" w:space="0" w:color="auto"/>
              <w:left w:val="single" w:sz="6" w:space="0" w:color="auto"/>
              <w:bottom w:val="single" w:sz="6" w:space="0" w:color="auto"/>
              <w:right w:val="single" w:sz="6" w:space="0" w:color="auto"/>
            </w:tcBorders>
          </w:tcPr>
          <w:p w14:paraId="524FDF07" w14:textId="77777777" w:rsidR="007A6E0D" w:rsidRPr="0063341F" w:rsidRDefault="007A6E0D" w:rsidP="006D389B">
            <w:pPr>
              <w:pStyle w:val="wTableNormal"/>
              <w:jc w:val="center"/>
            </w:pPr>
            <w:r w:rsidRPr="0063341F">
              <w:t>19.5</w:t>
            </w:r>
          </w:p>
        </w:tc>
        <w:tc>
          <w:tcPr>
            <w:tcW w:w="1367" w:type="dxa"/>
            <w:tcBorders>
              <w:top w:val="single" w:sz="6" w:space="0" w:color="auto"/>
              <w:left w:val="single" w:sz="6" w:space="0" w:color="auto"/>
              <w:bottom w:val="single" w:sz="6" w:space="0" w:color="auto"/>
              <w:right w:val="single" w:sz="6" w:space="0" w:color="auto"/>
            </w:tcBorders>
          </w:tcPr>
          <w:p w14:paraId="5D2BF764" w14:textId="77777777" w:rsidR="007A6E0D" w:rsidRPr="0063341F" w:rsidRDefault="007A6E0D" w:rsidP="006D389B">
            <w:pPr>
              <w:pStyle w:val="wTableNormal"/>
              <w:jc w:val="center"/>
            </w:pPr>
            <w:r w:rsidRPr="0063341F">
              <w:t>95</w:t>
            </w:r>
          </w:p>
        </w:tc>
        <w:tc>
          <w:tcPr>
            <w:tcW w:w="1760" w:type="dxa"/>
            <w:tcBorders>
              <w:top w:val="single" w:sz="6" w:space="0" w:color="auto"/>
              <w:left w:val="single" w:sz="6" w:space="0" w:color="auto"/>
              <w:bottom w:val="single" w:sz="6" w:space="0" w:color="auto"/>
              <w:right w:val="single" w:sz="6" w:space="0" w:color="auto"/>
            </w:tcBorders>
          </w:tcPr>
          <w:p w14:paraId="7ABEAE16" w14:textId="77777777" w:rsidR="007A6E0D" w:rsidRPr="0063341F" w:rsidRDefault="007A6E0D" w:rsidP="006D389B">
            <w:pPr>
              <w:pStyle w:val="wTableNormal"/>
              <w:jc w:val="center"/>
            </w:pPr>
            <w:r w:rsidRPr="0063341F">
              <w:t>8.6</w:t>
            </w:r>
          </w:p>
        </w:tc>
        <w:tc>
          <w:tcPr>
            <w:tcW w:w="1258" w:type="dxa"/>
            <w:tcBorders>
              <w:top w:val="single" w:sz="6" w:space="0" w:color="auto"/>
              <w:left w:val="single" w:sz="6" w:space="0" w:color="auto"/>
              <w:bottom w:val="single" w:sz="6" w:space="0" w:color="auto"/>
              <w:right w:val="single" w:sz="6" w:space="0" w:color="auto"/>
            </w:tcBorders>
          </w:tcPr>
          <w:p w14:paraId="00297E61" w14:textId="77777777" w:rsidR="007A6E0D" w:rsidRPr="0063341F" w:rsidRDefault="007A6E0D" w:rsidP="006D389B">
            <w:pPr>
              <w:pStyle w:val="wTableNormal"/>
              <w:jc w:val="center"/>
            </w:pPr>
            <w:r w:rsidRPr="0063341F">
              <w:t>110</w:t>
            </w:r>
          </w:p>
        </w:tc>
        <w:tc>
          <w:tcPr>
            <w:tcW w:w="1512" w:type="dxa"/>
            <w:tcBorders>
              <w:top w:val="single" w:sz="6" w:space="0" w:color="auto"/>
              <w:left w:val="single" w:sz="6" w:space="0" w:color="auto"/>
              <w:bottom w:val="single" w:sz="6" w:space="0" w:color="auto"/>
            </w:tcBorders>
          </w:tcPr>
          <w:p w14:paraId="52E1F06E" w14:textId="77777777" w:rsidR="007A6E0D" w:rsidRPr="0063341F" w:rsidRDefault="007A6E0D" w:rsidP="006D389B">
            <w:pPr>
              <w:pStyle w:val="wTableNormal"/>
              <w:jc w:val="center"/>
            </w:pPr>
            <w:r w:rsidRPr="0063341F">
              <w:t>3.1</w:t>
            </w:r>
          </w:p>
        </w:tc>
      </w:tr>
      <w:tr w:rsidR="007A6E0D" w:rsidRPr="0063341F" w14:paraId="4EA9CC48" w14:textId="77777777" w:rsidTr="006D389B">
        <w:trPr>
          <w:jc w:val="center"/>
        </w:trPr>
        <w:tc>
          <w:tcPr>
            <w:tcW w:w="1277" w:type="dxa"/>
            <w:tcBorders>
              <w:top w:val="single" w:sz="6" w:space="0" w:color="auto"/>
              <w:bottom w:val="single" w:sz="6" w:space="0" w:color="auto"/>
              <w:right w:val="single" w:sz="6" w:space="0" w:color="auto"/>
            </w:tcBorders>
          </w:tcPr>
          <w:p w14:paraId="43B5EA9F" w14:textId="77777777" w:rsidR="007A6E0D" w:rsidRPr="0063341F" w:rsidRDefault="007A6E0D" w:rsidP="006D389B">
            <w:pPr>
              <w:pStyle w:val="wTableNormal"/>
              <w:jc w:val="center"/>
            </w:pPr>
            <w:r w:rsidRPr="0063341F">
              <w:t>80</w:t>
            </w:r>
          </w:p>
        </w:tc>
        <w:tc>
          <w:tcPr>
            <w:tcW w:w="1514" w:type="dxa"/>
            <w:tcBorders>
              <w:top w:val="single" w:sz="6" w:space="0" w:color="auto"/>
              <w:left w:val="single" w:sz="6" w:space="0" w:color="auto"/>
              <w:bottom w:val="single" w:sz="6" w:space="0" w:color="auto"/>
              <w:right w:val="single" w:sz="6" w:space="0" w:color="auto"/>
            </w:tcBorders>
          </w:tcPr>
          <w:p w14:paraId="34F6B6DF" w14:textId="77777777" w:rsidR="007A6E0D" w:rsidRPr="0063341F" w:rsidRDefault="007A6E0D" w:rsidP="006D389B">
            <w:pPr>
              <w:pStyle w:val="wTableNormal"/>
              <w:jc w:val="center"/>
            </w:pPr>
            <w:r w:rsidRPr="0063341F">
              <w:t>18.7</w:t>
            </w:r>
          </w:p>
        </w:tc>
        <w:tc>
          <w:tcPr>
            <w:tcW w:w="1367" w:type="dxa"/>
            <w:tcBorders>
              <w:top w:val="single" w:sz="6" w:space="0" w:color="auto"/>
              <w:left w:val="single" w:sz="6" w:space="0" w:color="auto"/>
              <w:bottom w:val="single" w:sz="6" w:space="0" w:color="auto"/>
              <w:right w:val="single" w:sz="6" w:space="0" w:color="auto"/>
            </w:tcBorders>
          </w:tcPr>
          <w:p w14:paraId="77D24C12" w14:textId="77777777" w:rsidR="007A6E0D" w:rsidRPr="0063341F" w:rsidRDefault="007A6E0D" w:rsidP="006D389B">
            <w:pPr>
              <w:pStyle w:val="wTableNormal"/>
              <w:jc w:val="center"/>
            </w:pPr>
            <w:r w:rsidRPr="0063341F">
              <w:t>96</w:t>
            </w:r>
          </w:p>
        </w:tc>
        <w:tc>
          <w:tcPr>
            <w:tcW w:w="1760" w:type="dxa"/>
            <w:tcBorders>
              <w:top w:val="single" w:sz="6" w:space="0" w:color="auto"/>
              <w:left w:val="single" w:sz="6" w:space="0" w:color="auto"/>
              <w:bottom w:val="single" w:sz="6" w:space="0" w:color="auto"/>
              <w:right w:val="single" w:sz="6" w:space="0" w:color="auto"/>
            </w:tcBorders>
          </w:tcPr>
          <w:p w14:paraId="59BD3E2E" w14:textId="77777777" w:rsidR="007A6E0D" w:rsidRPr="0063341F" w:rsidRDefault="007A6E0D" w:rsidP="006D389B">
            <w:pPr>
              <w:pStyle w:val="wTableNormal"/>
              <w:jc w:val="center"/>
            </w:pPr>
            <w:r w:rsidRPr="0063341F">
              <w:t>8.1</w:t>
            </w:r>
          </w:p>
        </w:tc>
        <w:tc>
          <w:tcPr>
            <w:tcW w:w="1258" w:type="dxa"/>
            <w:tcBorders>
              <w:top w:val="single" w:sz="6" w:space="0" w:color="auto"/>
              <w:left w:val="single" w:sz="6" w:space="0" w:color="auto"/>
              <w:bottom w:val="single" w:sz="6" w:space="0" w:color="auto"/>
              <w:right w:val="single" w:sz="6" w:space="0" w:color="auto"/>
            </w:tcBorders>
          </w:tcPr>
          <w:p w14:paraId="4C075D6D" w14:textId="77777777" w:rsidR="007A6E0D" w:rsidRPr="0063341F" w:rsidRDefault="007A6E0D" w:rsidP="006D389B">
            <w:pPr>
              <w:pStyle w:val="wTableNormal"/>
              <w:jc w:val="center"/>
            </w:pPr>
            <w:r w:rsidRPr="0063341F">
              <w:t>111</w:t>
            </w:r>
          </w:p>
        </w:tc>
        <w:tc>
          <w:tcPr>
            <w:tcW w:w="1512" w:type="dxa"/>
            <w:tcBorders>
              <w:top w:val="single" w:sz="6" w:space="0" w:color="auto"/>
              <w:left w:val="single" w:sz="6" w:space="0" w:color="auto"/>
              <w:bottom w:val="single" w:sz="6" w:space="0" w:color="auto"/>
            </w:tcBorders>
          </w:tcPr>
          <w:p w14:paraId="5197FBF5" w14:textId="77777777" w:rsidR="007A6E0D" w:rsidRPr="0063341F" w:rsidRDefault="007A6E0D" w:rsidP="006D389B">
            <w:pPr>
              <w:pStyle w:val="wTableNormal"/>
              <w:jc w:val="center"/>
            </w:pPr>
            <w:r w:rsidRPr="0063341F">
              <w:t>2.9</w:t>
            </w:r>
          </w:p>
        </w:tc>
      </w:tr>
      <w:tr w:rsidR="007A6E0D" w:rsidRPr="0063341F" w14:paraId="603AB35C" w14:textId="77777777" w:rsidTr="006D389B">
        <w:trPr>
          <w:jc w:val="center"/>
        </w:trPr>
        <w:tc>
          <w:tcPr>
            <w:tcW w:w="1277" w:type="dxa"/>
            <w:tcBorders>
              <w:top w:val="single" w:sz="6" w:space="0" w:color="auto"/>
              <w:bottom w:val="single" w:sz="6" w:space="0" w:color="auto"/>
              <w:right w:val="single" w:sz="6" w:space="0" w:color="auto"/>
            </w:tcBorders>
          </w:tcPr>
          <w:p w14:paraId="630EBDAC" w14:textId="77777777" w:rsidR="007A6E0D" w:rsidRPr="0063341F" w:rsidRDefault="007A6E0D" w:rsidP="006D389B">
            <w:pPr>
              <w:pStyle w:val="wTableNormal"/>
              <w:jc w:val="center"/>
            </w:pPr>
            <w:r w:rsidRPr="0063341F">
              <w:t>81</w:t>
            </w:r>
          </w:p>
        </w:tc>
        <w:tc>
          <w:tcPr>
            <w:tcW w:w="1514" w:type="dxa"/>
            <w:tcBorders>
              <w:top w:val="single" w:sz="6" w:space="0" w:color="auto"/>
              <w:left w:val="single" w:sz="6" w:space="0" w:color="auto"/>
              <w:bottom w:val="single" w:sz="6" w:space="0" w:color="auto"/>
              <w:right w:val="single" w:sz="6" w:space="0" w:color="auto"/>
            </w:tcBorders>
          </w:tcPr>
          <w:p w14:paraId="478F4F51" w14:textId="77777777" w:rsidR="007A6E0D" w:rsidRPr="0063341F" w:rsidRDefault="007A6E0D" w:rsidP="006D389B">
            <w:pPr>
              <w:pStyle w:val="wTableNormal"/>
              <w:jc w:val="center"/>
            </w:pPr>
            <w:r w:rsidRPr="0063341F">
              <w:t>17.9</w:t>
            </w:r>
          </w:p>
        </w:tc>
        <w:tc>
          <w:tcPr>
            <w:tcW w:w="1367" w:type="dxa"/>
            <w:tcBorders>
              <w:top w:val="single" w:sz="6" w:space="0" w:color="auto"/>
              <w:left w:val="single" w:sz="6" w:space="0" w:color="auto"/>
              <w:bottom w:val="single" w:sz="6" w:space="0" w:color="auto"/>
              <w:right w:val="single" w:sz="6" w:space="0" w:color="auto"/>
            </w:tcBorders>
          </w:tcPr>
          <w:p w14:paraId="5FE2BC7A" w14:textId="77777777" w:rsidR="007A6E0D" w:rsidRPr="0063341F" w:rsidRDefault="007A6E0D" w:rsidP="006D389B">
            <w:pPr>
              <w:pStyle w:val="wTableNormal"/>
              <w:jc w:val="center"/>
            </w:pPr>
            <w:r w:rsidRPr="0063341F">
              <w:t>97</w:t>
            </w:r>
          </w:p>
        </w:tc>
        <w:tc>
          <w:tcPr>
            <w:tcW w:w="1760" w:type="dxa"/>
            <w:tcBorders>
              <w:top w:val="single" w:sz="6" w:space="0" w:color="auto"/>
              <w:left w:val="single" w:sz="6" w:space="0" w:color="auto"/>
              <w:bottom w:val="single" w:sz="6" w:space="0" w:color="auto"/>
              <w:right w:val="single" w:sz="6" w:space="0" w:color="auto"/>
            </w:tcBorders>
          </w:tcPr>
          <w:p w14:paraId="18657D4C" w14:textId="77777777" w:rsidR="007A6E0D" w:rsidRPr="0063341F" w:rsidRDefault="007A6E0D" w:rsidP="006D389B">
            <w:pPr>
              <w:pStyle w:val="wTableNormal"/>
              <w:jc w:val="center"/>
            </w:pPr>
            <w:r w:rsidRPr="0063341F">
              <w:t>7.6</w:t>
            </w:r>
          </w:p>
        </w:tc>
        <w:tc>
          <w:tcPr>
            <w:tcW w:w="1258" w:type="dxa"/>
            <w:tcBorders>
              <w:top w:val="single" w:sz="6" w:space="0" w:color="auto"/>
              <w:left w:val="single" w:sz="6" w:space="0" w:color="auto"/>
              <w:bottom w:val="single" w:sz="6" w:space="0" w:color="auto"/>
              <w:right w:val="single" w:sz="6" w:space="0" w:color="auto"/>
            </w:tcBorders>
          </w:tcPr>
          <w:p w14:paraId="08849272" w14:textId="77777777" w:rsidR="007A6E0D" w:rsidRPr="0063341F" w:rsidRDefault="007A6E0D" w:rsidP="006D389B">
            <w:pPr>
              <w:pStyle w:val="wTableNormal"/>
              <w:jc w:val="center"/>
            </w:pPr>
            <w:r w:rsidRPr="0063341F">
              <w:t>112</w:t>
            </w:r>
          </w:p>
        </w:tc>
        <w:tc>
          <w:tcPr>
            <w:tcW w:w="1512" w:type="dxa"/>
            <w:tcBorders>
              <w:top w:val="single" w:sz="6" w:space="0" w:color="auto"/>
              <w:left w:val="single" w:sz="6" w:space="0" w:color="auto"/>
              <w:bottom w:val="single" w:sz="6" w:space="0" w:color="auto"/>
            </w:tcBorders>
          </w:tcPr>
          <w:p w14:paraId="60F2DDFA" w14:textId="77777777" w:rsidR="007A6E0D" w:rsidRPr="0063341F" w:rsidRDefault="007A6E0D" w:rsidP="006D389B">
            <w:pPr>
              <w:pStyle w:val="wTableNormal"/>
              <w:jc w:val="center"/>
            </w:pPr>
            <w:r w:rsidRPr="0063341F">
              <w:t>2.6</w:t>
            </w:r>
          </w:p>
        </w:tc>
      </w:tr>
      <w:tr w:rsidR="008838A6" w:rsidRPr="0063341F" w14:paraId="283773AD" w14:textId="77777777" w:rsidTr="006D389B">
        <w:trPr>
          <w:trHeight w:val="171"/>
          <w:jc w:val="center"/>
        </w:trPr>
        <w:tc>
          <w:tcPr>
            <w:tcW w:w="1277" w:type="dxa"/>
            <w:tcBorders>
              <w:top w:val="single" w:sz="6" w:space="0" w:color="auto"/>
              <w:bottom w:val="single" w:sz="6" w:space="0" w:color="auto"/>
              <w:right w:val="single" w:sz="6" w:space="0" w:color="auto"/>
            </w:tcBorders>
          </w:tcPr>
          <w:p w14:paraId="46FFADB5" w14:textId="77777777" w:rsidR="008838A6" w:rsidRPr="0063341F" w:rsidRDefault="008838A6" w:rsidP="006D389B">
            <w:pPr>
              <w:pStyle w:val="wTableNormal"/>
              <w:jc w:val="center"/>
            </w:pPr>
            <w:r w:rsidRPr="0063341F">
              <w:t>82</w:t>
            </w:r>
          </w:p>
        </w:tc>
        <w:tc>
          <w:tcPr>
            <w:tcW w:w="1514" w:type="dxa"/>
            <w:tcBorders>
              <w:top w:val="single" w:sz="6" w:space="0" w:color="auto"/>
              <w:left w:val="single" w:sz="6" w:space="0" w:color="auto"/>
              <w:bottom w:val="single" w:sz="6" w:space="0" w:color="auto"/>
              <w:right w:val="single" w:sz="6" w:space="0" w:color="auto"/>
            </w:tcBorders>
          </w:tcPr>
          <w:p w14:paraId="59B7D810" w14:textId="77777777" w:rsidR="008838A6" w:rsidRPr="0063341F" w:rsidRDefault="008838A6" w:rsidP="006D389B">
            <w:pPr>
              <w:pStyle w:val="wTableNormal"/>
              <w:jc w:val="center"/>
            </w:pPr>
            <w:r w:rsidRPr="0063341F">
              <w:t>17.1</w:t>
            </w:r>
          </w:p>
        </w:tc>
        <w:tc>
          <w:tcPr>
            <w:tcW w:w="1367" w:type="dxa"/>
            <w:tcBorders>
              <w:top w:val="single" w:sz="6" w:space="0" w:color="auto"/>
              <w:left w:val="single" w:sz="6" w:space="0" w:color="auto"/>
              <w:bottom w:val="single" w:sz="6" w:space="0" w:color="auto"/>
              <w:right w:val="single" w:sz="6" w:space="0" w:color="auto"/>
            </w:tcBorders>
          </w:tcPr>
          <w:p w14:paraId="7CE8B972" w14:textId="77777777" w:rsidR="008838A6" w:rsidRPr="0063341F" w:rsidRDefault="008838A6" w:rsidP="006D389B">
            <w:pPr>
              <w:pStyle w:val="wTableNormal"/>
              <w:jc w:val="center"/>
            </w:pPr>
            <w:r w:rsidRPr="0063341F">
              <w:t>98</w:t>
            </w:r>
          </w:p>
        </w:tc>
        <w:tc>
          <w:tcPr>
            <w:tcW w:w="1760" w:type="dxa"/>
            <w:tcBorders>
              <w:top w:val="single" w:sz="6" w:space="0" w:color="auto"/>
              <w:left w:val="single" w:sz="6" w:space="0" w:color="auto"/>
              <w:bottom w:val="single" w:sz="6" w:space="0" w:color="auto"/>
              <w:right w:val="single" w:sz="6" w:space="0" w:color="auto"/>
            </w:tcBorders>
          </w:tcPr>
          <w:p w14:paraId="071F503D" w14:textId="77777777" w:rsidR="008838A6" w:rsidRPr="0063341F" w:rsidRDefault="008838A6" w:rsidP="006D389B">
            <w:pPr>
              <w:pStyle w:val="wTableNormal"/>
              <w:jc w:val="center"/>
            </w:pPr>
            <w:r w:rsidRPr="0063341F">
              <w:t>7.1</w:t>
            </w:r>
          </w:p>
        </w:tc>
        <w:tc>
          <w:tcPr>
            <w:tcW w:w="1258" w:type="dxa"/>
            <w:tcBorders>
              <w:top w:val="single" w:sz="6" w:space="0" w:color="auto"/>
              <w:left w:val="single" w:sz="6" w:space="0" w:color="auto"/>
              <w:bottom w:val="single" w:sz="6" w:space="0" w:color="auto"/>
              <w:right w:val="single" w:sz="6" w:space="0" w:color="auto"/>
            </w:tcBorders>
          </w:tcPr>
          <w:p w14:paraId="5755F785" w14:textId="77777777" w:rsidR="008838A6" w:rsidRPr="0063341F" w:rsidRDefault="008838A6" w:rsidP="006D389B">
            <w:pPr>
              <w:pStyle w:val="wTableNormal"/>
              <w:jc w:val="center"/>
            </w:pPr>
            <w:r w:rsidRPr="0063341F">
              <w:t>113</w:t>
            </w:r>
          </w:p>
        </w:tc>
        <w:tc>
          <w:tcPr>
            <w:tcW w:w="1512" w:type="dxa"/>
            <w:tcBorders>
              <w:top w:val="single" w:sz="6" w:space="0" w:color="auto"/>
              <w:left w:val="single" w:sz="6" w:space="0" w:color="auto"/>
              <w:bottom w:val="single" w:sz="6" w:space="0" w:color="auto"/>
            </w:tcBorders>
          </w:tcPr>
          <w:p w14:paraId="18058E79" w14:textId="77777777" w:rsidR="008838A6" w:rsidRPr="0063341F" w:rsidRDefault="008838A6" w:rsidP="006D389B">
            <w:pPr>
              <w:pStyle w:val="wTableNormal"/>
              <w:jc w:val="center"/>
            </w:pPr>
            <w:r w:rsidRPr="0063341F">
              <w:t>2.4</w:t>
            </w:r>
          </w:p>
        </w:tc>
      </w:tr>
      <w:tr w:rsidR="008838A6" w:rsidRPr="0063341F" w14:paraId="0680636D" w14:textId="77777777" w:rsidTr="006D389B">
        <w:trPr>
          <w:trHeight w:val="187"/>
          <w:jc w:val="center"/>
        </w:trPr>
        <w:tc>
          <w:tcPr>
            <w:tcW w:w="1277" w:type="dxa"/>
            <w:tcBorders>
              <w:top w:val="single" w:sz="6" w:space="0" w:color="auto"/>
              <w:bottom w:val="single" w:sz="6" w:space="0" w:color="auto"/>
              <w:right w:val="single" w:sz="6" w:space="0" w:color="auto"/>
            </w:tcBorders>
          </w:tcPr>
          <w:p w14:paraId="725D84C4" w14:textId="77777777" w:rsidR="008838A6" w:rsidRPr="0063341F" w:rsidRDefault="008838A6" w:rsidP="006D389B">
            <w:pPr>
              <w:pStyle w:val="wTableNormal"/>
              <w:jc w:val="center"/>
            </w:pPr>
            <w:r w:rsidRPr="0063341F">
              <w:t>83</w:t>
            </w:r>
          </w:p>
        </w:tc>
        <w:tc>
          <w:tcPr>
            <w:tcW w:w="1514" w:type="dxa"/>
            <w:tcBorders>
              <w:top w:val="single" w:sz="6" w:space="0" w:color="auto"/>
              <w:left w:val="single" w:sz="6" w:space="0" w:color="auto"/>
              <w:bottom w:val="single" w:sz="6" w:space="0" w:color="auto"/>
              <w:right w:val="single" w:sz="6" w:space="0" w:color="auto"/>
            </w:tcBorders>
          </w:tcPr>
          <w:p w14:paraId="08BB5A01" w14:textId="77777777" w:rsidR="008838A6" w:rsidRPr="0063341F" w:rsidRDefault="008838A6" w:rsidP="006D389B">
            <w:pPr>
              <w:pStyle w:val="wTableNormal"/>
              <w:jc w:val="center"/>
            </w:pPr>
            <w:r w:rsidRPr="0063341F">
              <w:t>16.3</w:t>
            </w:r>
          </w:p>
        </w:tc>
        <w:tc>
          <w:tcPr>
            <w:tcW w:w="1367" w:type="dxa"/>
            <w:tcBorders>
              <w:top w:val="single" w:sz="6" w:space="0" w:color="auto"/>
              <w:left w:val="single" w:sz="6" w:space="0" w:color="auto"/>
              <w:bottom w:val="single" w:sz="6" w:space="0" w:color="auto"/>
              <w:right w:val="single" w:sz="6" w:space="0" w:color="auto"/>
            </w:tcBorders>
          </w:tcPr>
          <w:p w14:paraId="16788326" w14:textId="77777777" w:rsidR="008838A6" w:rsidRPr="0063341F" w:rsidRDefault="008838A6" w:rsidP="006D389B">
            <w:pPr>
              <w:pStyle w:val="wTableNormal"/>
              <w:jc w:val="center"/>
            </w:pPr>
            <w:r w:rsidRPr="0063341F">
              <w:t>99</w:t>
            </w:r>
          </w:p>
        </w:tc>
        <w:tc>
          <w:tcPr>
            <w:tcW w:w="1760" w:type="dxa"/>
            <w:tcBorders>
              <w:top w:val="single" w:sz="6" w:space="0" w:color="auto"/>
              <w:left w:val="single" w:sz="6" w:space="0" w:color="auto"/>
              <w:bottom w:val="single" w:sz="6" w:space="0" w:color="auto"/>
              <w:right w:val="single" w:sz="6" w:space="0" w:color="auto"/>
            </w:tcBorders>
          </w:tcPr>
          <w:p w14:paraId="284C17C8" w14:textId="77777777" w:rsidR="008838A6" w:rsidRPr="0063341F" w:rsidRDefault="008838A6" w:rsidP="006D389B">
            <w:pPr>
              <w:pStyle w:val="wTableNormal"/>
              <w:jc w:val="center"/>
            </w:pPr>
            <w:r w:rsidRPr="0063341F">
              <w:t>6.7</w:t>
            </w:r>
          </w:p>
        </w:tc>
        <w:tc>
          <w:tcPr>
            <w:tcW w:w="1258" w:type="dxa"/>
            <w:tcBorders>
              <w:top w:val="single" w:sz="6" w:space="0" w:color="auto"/>
              <w:left w:val="single" w:sz="6" w:space="0" w:color="auto"/>
              <w:bottom w:val="single" w:sz="6" w:space="0" w:color="auto"/>
              <w:right w:val="single" w:sz="6" w:space="0" w:color="auto"/>
            </w:tcBorders>
          </w:tcPr>
          <w:p w14:paraId="0A39185E" w14:textId="77777777" w:rsidR="008838A6" w:rsidRPr="0063341F" w:rsidRDefault="008838A6" w:rsidP="006D389B">
            <w:pPr>
              <w:pStyle w:val="wTableNormal"/>
              <w:jc w:val="center"/>
            </w:pPr>
            <w:r w:rsidRPr="0063341F">
              <w:t>114</w:t>
            </w:r>
          </w:p>
        </w:tc>
        <w:tc>
          <w:tcPr>
            <w:tcW w:w="1512" w:type="dxa"/>
            <w:tcBorders>
              <w:top w:val="single" w:sz="6" w:space="0" w:color="auto"/>
              <w:left w:val="single" w:sz="6" w:space="0" w:color="auto"/>
              <w:bottom w:val="single" w:sz="6" w:space="0" w:color="auto"/>
            </w:tcBorders>
          </w:tcPr>
          <w:p w14:paraId="4B689747" w14:textId="77777777" w:rsidR="008838A6" w:rsidRPr="0063341F" w:rsidRDefault="008838A6" w:rsidP="006D389B">
            <w:pPr>
              <w:pStyle w:val="wTableNormal"/>
              <w:jc w:val="center"/>
            </w:pPr>
            <w:r w:rsidRPr="0063341F">
              <w:t>2.1</w:t>
            </w:r>
          </w:p>
        </w:tc>
      </w:tr>
      <w:tr w:rsidR="008838A6" w:rsidRPr="0063341F" w14:paraId="79A2B59E" w14:textId="77777777" w:rsidTr="006D389B">
        <w:trPr>
          <w:jc w:val="center"/>
        </w:trPr>
        <w:tc>
          <w:tcPr>
            <w:tcW w:w="1277" w:type="dxa"/>
            <w:tcBorders>
              <w:top w:val="single" w:sz="6" w:space="0" w:color="auto"/>
              <w:bottom w:val="single" w:sz="6" w:space="0" w:color="auto"/>
              <w:right w:val="single" w:sz="6" w:space="0" w:color="auto"/>
            </w:tcBorders>
          </w:tcPr>
          <w:p w14:paraId="0672FDE8" w14:textId="77777777" w:rsidR="008838A6" w:rsidRPr="0063341F" w:rsidRDefault="008838A6" w:rsidP="006D389B">
            <w:pPr>
              <w:pStyle w:val="wTableNormal"/>
              <w:jc w:val="center"/>
            </w:pPr>
            <w:r w:rsidRPr="0063341F">
              <w:t>84</w:t>
            </w:r>
          </w:p>
        </w:tc>
        <w:tc>
          <w:tcPr>
            <w:tcW w:w="1514" w:type="dxa"/>
            <w:tcBorders>
              <w:top w:val="single" w:sz="6" w:space="0" w:color="auto"/>
              <w:left w:val="single" w:sz="6" w:space="0" w:color="auto"/>
              <w:bottom w:val="single" w:sz="6" w:space="0" w:color="auto"/>
              <w:right w:val="single" w:sz="6" w:space="0" w:color="auto"/>
            </w:tcBorders>
          </w:tcPr>
          <w:p w14:paraId="04834E54" w14:textId="77777777" w:rsidR="008838A6" w:rsidRPr="0063341F" w:rsidRDefault="008838A6" w:rsidP="006D389B">
            <w:pPr>
              <w:pStyle w:val="wTableNormal"/>
              <w:jc w:val="center"/>
            </w:pPr>
            <w:r w:rsidRPr="0063341F">
              <w:t>15.5</w:t>
            </w:r>
          </w:p>
        </w:tc>
        <w:tc>
          <w:tcPr>
            <w:tcW w:w="1367" w:type="dxa"/>
            <w:tcBorders>
              <w:top w:val="single" w:sz="6" w:space="0" w:color="auto"/>
              <w:left w:val="single" w:sz="6" w:space="0" w:color="auto"/>
              <w:bottom w:val="single" w:sz="6" w:space="0" w:color="auto"/>
              <w:right w:val="single" w:sz="6" w:space="0" w:color="auto"/>
            </w:tcBorders>
          </w:tcPr>
          <w:p w14:paraId="3C60A3F7" w14:textId="77777777" w:rsidR="008838A6" w:rsidRPr="0063341F" w:rsidRDefault="008838A6" w:rsidP="006D389B">
            <w:pPr>
              <w:pStyle w:val="wTableNormal"/>
              <w:jc w:val="center"/>
            </w:pPr>
            <w:r w:rsidRPr="0063341F">
              <w:t>100</w:t>
            </w:r>
          </w:p>
        </w:tc>
        <w:tc>
          <w:tcPr>
            <w:tcW w:w="1760" w:type="dxa"/>
            <w:tcBorders>
              <w:top w:val="single" w:sz="6" w:space="0" w:color="auto"/>
              <w:left w:val="single" w:sz="6" w:space="0" w:color="auto"/>
              <w:bottom w:val="single" w:sz="6" w:space="0" w:color="auto"/>
              <w:right w:val="single" w:sz="6" w:space="0" w:color="auto"/>
            </w:tcBorders>
          </w:tcPr>
          <w:p w14:paraId="627EFE17" w14:textId="77777777" w:rsidR="008838A6" w:rsidRPr="0063341F" w:rsidRDefault="008838A6" w:rsidP="006D389B">
            <w:pPr>
              <w:pStyle w:val="wTableNormal"/>
              <w:jc w:val="center"/>
            </w:pPr>
            <w:r w:rsidRPr="0063341F">
              <w:t>6.3</w:t>
            </w:r>
          </w:p>
        </w:tc>
        <w:tc>
          <w:tcPr>
            <w:tcW w:w="1258" w:type="dxa"/>
            <w:tcBorders>
              <w:top w:val="single" w:sz="6" w:space="0" w:color="auto"/>
              <w:left w:val="single" w:sz="6" w:space="0" w:color="auto"/>
              <w:bottom w:val="single" w:sz="6" w:space="0" w:color="auto"/>
              <w:right w:val="single" w:sz="6" w:space="0" w:color="auto"/>
            </w:tcBorders>
          </w:tcPr>
          <w:p w14:paraId="3CE69D82" w14:textId="77777777" w:rsidR="008838A6" w:rsidRPr="0063341F" w:rsidRDefault="008838A6" w:rsidP="006D389B">
            <w:pPr>
              <w:pStyle w:val="wTableNormal"/>
              <w:jc w:val="center"/>
            </w:pPr>
            <w:r w:rsidRPr="0063341F">
              <w:t>115</w:t>
            </w:r>
          </w:p>
        </w:tc>
        <w:tc>
          <w:tcPr>
            <w:tcW w:w="1512" w:type="dxa"/>
            <w:tcBorders>
              <w:top w:val="single" w:sz="6" w:space="0" w:color="auto"/>
              <w:left w:val="single" w:sz="6" w:space="0" w:color="auto"/>
              <w:bottom w:val="single" w:sz="6" w:space="0" w:color="auto"/>
            </w:tcBorders>
          </w:tcPr>
          <w:p w14:paraId="7635664E" w14:textId="77777777" w:rsidR="008838A6" w:rsidRPr="0063341F" w:rsidRDefault="008838A6" w:rsidP="006D389B">
            <w:pPr>
              <w:pStyle w:val="wTableNormal"/>
              <w:jc w:val="center"/>
            </w:pPr>
            <w:r w:rsidRPr="0063341F">
              <w:t>1.9</w:t>
            </w:r>
          </w:p>
        </w:tc>
      </w:tr>
      <w:tr w:rsidR="008838A6" w:rsidRPr="0063341F" w14:paraId="56D41D27" w14:textId="77777777" w:rsidTr="006D389B">
        <w:trPr>
          <w:jc w:val="center"/>
        </w:trPr>
        <w:tc>
          <w:tcPr>
            <w:tcW w:w="1277" w:type="dxa"/>
            <w:tcBorders>
              <w:top w:val="single" w:sz="6" w:space="0" w:color="auto"/>
              <w:right w:val="single" w:sz="6" w:space="0" w:color="auto"/>
            </w:tcBorders>
          </w:tcPr>
          <w:p w14:paraId="721E7531" w14:textId="77777777" w:rsidR="008838A6" w:rsidRPr="0063341F" w:rsidRDefault="008838A6" w:rsidP="006D389B">
            <w:pPr>
              <w:pStyle w:val="wTableNormal"/>
              <w:jc w:val="center"/>
            </w:pPr>
            <w:r w:rsidRPr="0063341F">
              <w:t>85</w:t>
            </w:r>
          </w:p>
        </w:tc>
        <w:tc>
          <w:tcPr>
            <w:tcW w:w="1514" w:type="dxa"/>
            <w:tcBorders>
              <w:top w:val="single" w:sz="6" w:space="0" w:color="auto"/>
              <w:left w:val="single" w:sz="6" w:space="0" w:color="auto"/>
              <w:right w:val="single" w:sz="6" w:space="0" w:color="auto"/>
            </w:tcBorders>
          </w:tcPr>
          <w:p w14:paraId="1582D050" w14:textId="77777777" w:rsidR="008838A6" w:rsidRPr="0063341F" w:rsidRDefault="008838A6" w:rsidP="006D389B">
            <w:pPr>
              <w:pStyle w:val="wTableNormal"/>
              <w:jc w:val="center"/>
            </w:pPr>
            <w:r w:rsidRPr="0063341F">
              <w:t>14.8</w:t>
            </w:r>
          </w:p>
        </w:tc>
        <w:tc>
          <w:tcPr>
            <w:tcW w:w="1367" w:type="dxa"/>
            <w:tcBorders>
              <w:top w:val="single" w:sz="6" w:space="0" w:color="auto"/>
              <w:left w:val="single" w:sz="6" w:space="0" w:color="auto"/>
              <w:right w:val="single" w:sz="6" w:space="0" w:color="auto"/>
            </w:tcBorders>
          </w:tcPr>
          <w:p w14:paraId="567E5C1C" w14:textId="77777777" w:rsidR="008838A6" w:rsidRPr="0063341F" w:rsidRDefault="008838A6" w:rsidP="006D389B">
            <w:pPr>
              <w:pStyle w:val="wTableNormal"/>
              <w:jc w:val="center"/>
            </w:pPr>
          </w:p>
        </w:tc>
        <w:tc>
          <w:tcPr>
            <w:tcW w:w="1760" w:type="dxa"/>
            <w:tcBorders>
              <w:top w:val="single" w:sz="6" w:space="0" w:color="auto"/>
              <w:left w:val="single" w:sz="6" w:space="0" w:color="auto"/>
              <w:right w:val="single" w:sz="6" w:space="0" w:color="auto"/>
            </w:tcBorders>
          </w:tcPr>
          <w:p w14:paraId="48A09036" w14:textId="77777777" w:rsidR="008838A6" w:rsidRPr="0063341F" w:rsidRDefault="008838A6" w:rsidP="006D389B">
            <w:pPr>
              <w:pStyle w:val="wTableNormal"/>
              <w:jc w:val="center"/>
            </w:pPr>
          </w:p>
        </w:tc>
        <w:tc>
          <w:tcPr>
            <w:tcW w:w="1258" w:type="dxa"/>
            <w:tcBorders>
              <w:top w:val="single" w:sz="6" w:space="0" w:color="auto"/>
              <w:left w:val="single" w:sz="6" w:space="0" w:color="auto"/>
              <w:right w:val="single" w:sz="6" w:space="0" w:color="auto"/>
            </w:tcBorders>
          </w:tcPr>
          <w:p w14:paraId="52C952FD" w14:textId="77777777" w:rsidR="008838A6" w:rsidRPr="0063341F" w:rsidRDefault="008838A6" w:rsidP="006D389B">
            <w:pPr>
              <w:pStyle w:val="wTableNormal"/>
              <w:jc w:val="center"/>
            </w:pPr>
          </w:p>
        </w:tc>
        <w:tc>
          <w:tcPr>
            <w:tcW w:w="1512" w:type="dxa"/>
            <w:tcBorders>
              <w:top w:val="single" w:sz="6" w:space="0" w:color="auto"/>
              <w:left w:val="single" w:sz="6" w:space="0" w:color="auto"/>
            </w:tcBorders>
          </w:tcPr>
          <w:p w14:paraId="108198EB" w14:textId="77777777" w:rsidR="008838A6" w:rsidRPr="0063341F" w:rsidRDefault="008838A6" w:rsidP="006D389B">
            <w:pPr>
              <w:pStyle w:val="wTableNormal"/>
              <w:jc w:val="center"/>
            </w:pPr>
          </w:p>
        </w:tc>
      </w:tr>
    </w:tbl>
    <w:p w14:paraId="226F3A56" w14:textId="77777777" w:rsidR="00A7259E" w:rsidRDefault="00A7259E" w:rsidP="006038E1">
      <w:pPr>
        <w:spacing w:after="0"/>
        <w:rPr>
          <w:szCs w:val="22"/>
        </w:rPr>
      </w:pPr>
    </w:p>
    <w:p w14:paraId="201DAE91" w14:textId="77777777" w:rsidR="00BD6318" w:rsidRDefault="00185F4D" w:rsidP="00825E0B">
      <w:pPr>
        <w:rPr>
          <w:szCs w:val="22"/>
        </w:rPr>
      </w:pPr>
      <w:r>
        <w:rPr>
          <w:szCs w:val="22"/>
        </w:rPr>
        <w:lastRenderedPageBreak/>
        <w:t>In order to understand how the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is used, let’s look at the required minimum 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Pr>
          <w:szCs w:val="22"/>
        </w:rPr>
        <w:t xml:space="preserve"> for our client, Joe Bass.</w:t>
      </w:r>
      <w:r w:rsidR="00297ACB">
        <w:rPr>
          <w:szCs w:val="22"/>
        </w:rPr>
        <w:t xml:space="preserve"> </w:t>
      </w:r>
      <w:r>
        <w:rPr>
          <w:szCs w:val="22"/>
        </w:rPr>
        <w:t>Joe has invested in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over the years and now must begin taking distributions.</w:t>
      </w:r>
      <w:r w:rsidR="00297ACB">
        <w:rPr>
          <w:szCs w:val="22"/>
        </w:rPr>
        <w:t xml:space="preserve"> </w:t>
      </w:r>
      <w:r w:rsidR="00C808B1">
        <w:rPr>
          <w:szCs w:val="22"/>
        </w:rPr>
        <w:t>He was born on December 1, 19</w:t>
      </w:r>
      <w:r w:rsidR="00D5227F">
        <w:rPr>
          <w:szCs w:val="22"/>
        </w:rPr>
        <w:t>4</w:t>
      </w:r>
      <w:r w:rsidR="003949A2">
        <w:rPr>
          <w:szCs w:val="22"/>
        </w:rPr>
        <w:t>3</w:t>
      </w:r>
      <w:r>
        <w:rPr>
          <w:szCs w:val="22"/>
        </w:rPr>
        <w:t xml:space="preserve"> and</w:t>
      </w:r>
      <w:r w:rsidR="00C808B1">
        <w:rPr>
          <w:szCs w:val="22"/>
        </w:rPr>
        <w:t xml:space="preserve"> </w:t>
      </w:r>
      <w:r w:rsidR="00410366">
        <w:rPr>
          <w:szCs w:val="22"/>
        </w:rPr>
        <w:t>is</w:t>
      </w:r>
      <w:r w:rsidR="00C808B1">
        <w:rPr>
          <w:szCs w:val="22"/>
        </w:rPr>
        <w:t xml:space="preserve">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00C808B1">
        <w:rPr>
          <w:szCs w:val="22"/>
        </w:rPr>
        <w:t xml:space="preserve"> on June 1, 20</w:t>
      </w:r>
      <w:r w:rsidR="00347FF1">
        <w:rPr>
          <w:szCs w:val="22"/>
        </w:rPr>
        <w:t>1</w:t>
      </w:r>
      <w:r w:rsidR="003949A2">
        <w:rPr>
          <w:szCs w:val="22"/>
        </w:rPr>
        <w:t>4</w:t>
      </w:r>
      <w:r>
        <w:rPr>
          <w:szCs w:val="22"/>
        </w:rPr>
        <w:t>.</w:t>
      </w:r>
      <w:r w:rsidR="00297ACB">
        <w:rPr>
          <w:szCs w:val="22"/>
        </w:rPr>
        <w:t xml:space="preserve"> </w:t>
      </w:r>
      <w:r>
        <w:rPr>
          <w:szCs w:val="22"/>
        </w:rPr>
        <w:t xml:space="preserve">Although he must begin taking </w:t>
      </w:r>
      <w:r w:rsidR="006C5D6E">
        <w:rPr>
          <w:szCs w:val="22"/>
        </w:rPr>
        <w:t>R</w:t>
      </w:r>
      <w:r w:rsidR="001942DA">
        <w:rPr>
          <w:szCs w:val="22"/>
        </w:rPr>
        <w:t>M</w:t>
      </w:r>
      <w:r w:rsidR="006C5D6E">
        <w:rPr>
          <w:szCs w:val="22"/>
        </w:rPr>
        <w:t>D</w:t>
      </w:r>
      <w:r w:rsidR="00C808B1">
        <w:rPr>
          <w:szCs w:val="22"/>
        </w:rPr>
        <w:t>s in 20</w:t>
      </w:r>
      <w:r w:rsidR="00347FF1">
        <w:rPr>
          <w:szCs w:val="22"/>
        </w:rPr>
        <w:t>1</w:t>
      </w:r>
      <w:r w:rsidR="003949A2">
        <w:rPr>
          <w:szCs w:val="22"/>
        </w:rPr>
        <w:t>4</w:t>
      </w:r>
      <w:r>
        <w:rPr>
          <w:szCs w:val="22"/>
        </w:rPr>
        <w:t>, he may defer the actual disbursement until April 1</w:t>
      </w:r>
      <w:r w:rsidRPr="00185F4D">
        <w:rPr>
          <w:szCs w:val="22"/>
          <w:vertAlign w:val="superscript"/>
        </w:rPr>
        <w:t>st</w:t>
      </w:r>
      <w:r>
        <w:rPr>
          <w:szCs w:val="22"/>
        </w:rPr>
        <w:t xml:space="preserve"> of the year following the year in which he became age 70½.</w:t>
      </w:r>
      <w:r w:rsidR="00297ACB">
        <w:rPr>
          <w:szCs w:val="22"/>
        </w:rPr>
        <w:t xml:space="preserve"> </w:t>
      </w:r>
      <w:r w:rsidR="00BB64A4">
        <w:rPr>
          <w:szCs w:val="22"/>
        </w:rPr>
        <w:t xml:space="preserve">For our illustration, we will assume that he delays taking the </w:t>
      </w:r>
      <w:r w:rsidR="00C808B1">
        <w:rPr>
          <w:szCs w:val="22"/>
        </w:rPr>
        <w:t>disbursement until April 1, 20</w:t>
      </w:r>
      <w:r w:rsidR="006E5544">
        <w:rPr>
          <w:szCs w:val="22"/>
        </w:rPr>
        <w:t>1</w:t>
      </w:r>
      <w:r w:rsidR="003949A2">
        <w:rPr>
          <w:szCs w:val="22"/>
        </w:rPr>
        <w:t>5</w:t>
      </w:r>
      <w:r w:rsidR="00BB64A4">
        <w:rPr>
          <w:szCs w:val="22"/>
        </w:rPr>
        <w:t>, his 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sidR="00BB64A4">
        <w:rPr>
          <w:szCs w:val="22"/>
        </w:rPr>
        <w:t>.</w:t>
      </w:r>
    </w:p>
    <w:p w14:paraId="2DBEA26E" w14:textId="77777777" w:rsidR="00BB64A4" w:rsidRDefault="00BB64A4" w:rsidP="00825E0B">
      <w:pPr>
        <w:rPr>
          <w:szCs w:val="22"/>
        </w:rPr>
      </w:pPr>
      <w:r>
        <w:rPr>
          <w:szCs w:val="22"/>
        </w:rPr>
        <w:t>The account balance to which we relate the distribution period is the account balance on December 31</w:t>
      </w:r>
      <w:r w:rsidRPr="00BB64A4">
        <w:rPr>
          <w:szCs w:val="22"/>
          <w:vertAlign w:val="superscript"/>
        </w:rPr>
        <w:t>st</w:t>
      </w:r>
      <w:r>
        <w:rPr>
          <w:szCs w:val="22"/>
        </w:rPr>
        <w:t xml:space="preserve"> of the year prior to the year for which the distribution is being taken.</w:t>
      </w:r>
      <w:r w:rsidR="00297ACB">
        <w:rPr>
          <w:szCs w:val="22"/>
        </w:rPr>
        <w:t xml:space="preserve"> </w:t>
      </w:r>
      <w:r>
        <w:rPr>
          <w:szCs w:val="22"/>
        </w:rPr>
        <w:t xml:space="preserve">Since Joe’s initial </w:t>
      </w:r>
      <w:r w:rsidR="006C5D6E">
        <w:rPr>
          <w:szCs w:val="22"/>
        </w:rPr>
        <w:t>R</w:t>
      </w:r>
      <w:r w:rsidR="00972376">
        <w:rPr>
          <w:szCs w:val="22"/>
        </w:rPr>
        <w:t>M</w:t>
      </w:r>
      <w:r w:rsidR="006C5D6E">
        <w:rPr>
          <w:szCs w:val="22"/>
        </w:rPr>
        <w:t>D</w:t>
      </w:r>
      <w:r w:rsidR="00C808B1">
        <w:rPr>
          <w:szCs w:val="22"/>
        </w:rPr>
        <w:t xml:space="preserve"> is taken for the year 20</w:t>
      </w:r>
      <w:r w:rsidR="00347FF1">
        <w:rPr>
          <w:szCs w:val="22"/>
        </w:rPr>
        <w:t>1</w:t>
      </w:r>
      <w:r w:rsidR="003949A2">
        <w:rPr>
          <w:szCs w:val="22"/>
        </w:rPr>
        <w:t>4</w:t>
      </w:r>
      <w:r>
        <w:rPr>
          <w:szCs w:val="22"/>
        </w:rPr>
        <w:t>, even though he is deferring it until April 1</w:t>
      </w:r>
      <w:r w:rsidRPr="00BB64A4">
        <w:rPr>
          <w:szCs w:val="22"/>
          <w:vertAlign w:val="superscript"/>
        </w:rPr>
        <w:t>st</w:t>
      </w:r>
      <w:r>
        <w:rPr>
          <w:szCs w:val="22"/>
        </w:rPr>
        <w:t xml:space="preserve"> of the following year, the important account balance is the balance</w:t>
      </w:r>
      <w:r w:rsidR="00C808B1">
        <w:rPr>
          <w:szCs w:val="22"/>
        </w:rPr>
        <w:t xml:space="preserve"> on December 31, 20</w:t>
      </w:r>
      <w:r w:rsidR="00D5227F">
        <w:rPr>
          <w:szCs w:val="22"/>
        </w:rPr>
        <w:t>1</w:t>
      </w:r>
      <w:r w:rsidR="003949A2">
        <w:rPr>
          <w:szCs w:val="22"/>
        </w:rPr>
        <w:t>3</w:t>
      </w:r>
      <w:r>
        <w:rPr>
          <w:szCs w:val="22"/>
        </w:rPr>
        <w:t>.</w:t>
      </w:r>
      <w:r w:rsidR="00297ACB">
        <w:rPr>
          <w:szCs w:val="22"/>
        </w:rPr>
        <w:t xml:space="preserve"> </w:t>
      </w:r>
      <w:r>
        <w:rPr>
          <w:szCs w:val="22"/>
        </w:rPr>
        <w:t>We will suppose that Joe’s balance on that date is $300,000.</w:t>
      </w:r>
    </w:p>
    <w:p w14:paraId="056A20D1" w14:textId="77777777" w:rsidR="008F30DF" w:rsidRDefault="00BB64A4" w:rsidP="00825E0B">
      <w:pPr>
        <w:rPr>
          <w:szCs w:val="22"/>
        </w:rPr>
      </w:pPr>
      <w:r>
        <w:rPr>
          <w:szCs w:val="22"/>
        </w:rPr>
        <w:t>Since Jo</w:t>
      </w:r>
      <w:r w:rsidR="00DF6960">
        <w:rPr>
          <w:szCs w:val="22"/>
        </w:rPr>
        <w:t>e’s balance on December 31, 20</w:t>
      </w:r>
      <w:r w:rsidR="00D5227F">
        <w:rPr>
          <w:szCs w:val="22"/>
        </w:rPr>
        <w:t>1</w:t>
      </w:r>
      <w:r w:rsidR="003949A2">
        <w:rPr>
          <w:szCs w:val="22"/>
        </w:rPr>
        <w:t>3</w:t>
      </w:r>
      <w:r>
        <w:rPr>
          <w:szCs w:val="22"/>
        </w:rPr>
        <w:t xml:space="preserve"> is $300,000 and he will be age 71 in the year for which the ini</w:t>
      </w:r>
      <w:r w:rsidR="00DF6960">
        <w:rPr>
          <w:szCs w:val="22"/>
        </w:rPr>
        <w:t>tial distribution is taken (20</w:t>
      </w:r>
      <w:r w:rsidR="00347FF1">
        <w:rPr>
          <w:szCs w:val="22"/>
        </w:rPr>
        <w:t>1</w:t>
      </w:r>
      <w:r w:rsidR="003949A2">
        <w:rPr>
          <w:szCs w:val="22"/>
        </w:rPr>
        <w:t>4</w:t>
      </w:r>
      <w:r>
        <w:rPr>
          <w:szCs w:val="22"/>
        </w:rPr>
        <w:t>), the minimum amount that needs to be distributed is $11,321—even if Joe defers receipt of the distributi</w:t>
      </w:r>
      <w:r w:rsidR="00DF6960">
        <w:rPr>
          <w:szCs w:val="22"/>
        </w:rPr>
        <w:t>on until April 1, 20</w:t>
      </w:r>
      <w:r w:rsidR="006E5544">
        <w:rPr>
          <w:szCs w:val="22"/>
        </w:rPr>
        <w:t>1</w:t>
      </w:r>
      <w:r w:rsidR="003949A2">
        <w:rPr>
          <w:szCs w:val="22"/>
        </w:rPr>
        <w:t>5</w:t>
      </w:r>
      <w:r w:rsidR="008F30DF">
        <w:rPr>
          <w:szCs w:val="22"/>
        </w:rPr>
        <w:t>.</w:t>
      </w:r>
      <w:r w:rsidR="00297ACB">
        <w:rPr>
          <w:szCs w:val="22"/>
        </w:rPr>
        <w:t xml:space="preserve"> </w:t>
      </w:r>
      <w:r w:rsidR="008F30DF">
        <w:rPr>
          <w:szCs w:val="22"/>
        </w:rPr>
        <w:t>($300,000 ÷ 26.5 = $11,320.75)</w:t>
      </w:r>
    </w:p>
    <w:p w14:paraId="5379B702" w14:textId="77777777" w:rsidR="008F30DF" w:rsidRDefault="006C5D6E" w:rsidP="00825E0B">
      <w:pPr>
        <w:rPr>
          <w:szCs w:val="22"/>
        </w:rPr>
      </w:pPr>
      <w:r>
        <w:rPr>
          <w:szCs w:val="22"/>
        </w:rPr>
        <w:t>Because</w:t>
      </w:r>
      <w:r w:rsidR="008F30DF">
        <w:rPr>
          <w:szCs w:val="22"/>
        </w:rPr>
        <w:t xml:space="preserve"> Joe deferred his initial </w:t>
      </w:r>
      <w:r>
        <w:rPr>
          <w:szCs w:val="22"/>
        </w:rPr>
        <w:t>R</w:t>
      </w:r>
      <w:r w:rsidR="00972376">
        <w:rPr>
          <w:szCs w:val="22"/>
        </w:rPr>
        <w:t>M</w:t>
      </w:r>
      <w:r>
        <w:rPr>
          <w:szCs w:val="22"/>
        </w:rPr>
        <w:t>D</w:t>
      </w:r>
      <w:r w:rsidR="008F30DF">
        <w:rPr>
          <w:szCs w:val="22"/>
        </w:rPr>
        <w:t xml:space="preserve"> until his 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sidR="006B685D">
        <w:rPr>
          <w:szCs w:val="22"/>
        </w:rPr>
        <w:t xml:space="preserve"> </w:t>
      </w:r>
      <w:r w:rsidR="006B685D">
        <w:t>(April 1</w:t>
      </w:r>
      <w:r w:rsidR="006B685D" w:rsidRPr="00AF04C8">
        <w:rPr>
          <w:vertAlign w:val="superscript"/>
        </w:rPr>
        <w:t>st</w:t>
      </w:r>
      <w:r w:rsidR="006B685D">
        <w:t xml:space="preserve"> of the year following the year he became age 70½</w:t>
      </w:r>
      <w:r w:rsidR="00A95039">
        <w:fldChar w:fldCharType="begin"/>
      </w:r>
      <w:r w:rsidR="00293611">
        <w:instrText xml:space="preserve"> XE "</w:instrText>
      </w:r>
      <w:r w:rsidR="00293611" w:rsidRPr="00CD56BD">
        <w:rPr>
          <w:szCs w:val="22"/>
        </w:rPr>
        <w:instrText>age 70½</w:instrText>
      </w:r>
      <w:r w:rsidR="00293611">
        <w:instrText xml:space="preserve">" </w:instrText>
      </w:r>
      <w:r w:rsidR="00A95039">
        <w:fldChar w:fldCharType="end"/>
      </w:r>
      <w:r w:rsidR="006B685D">
        <w:t>)</w:t>
      </w:r>
      <w:r w:rsidR="008F30DF">
        <w:rPr>
          <w:szCs w:val="22"/>
        </w:rPr>
        <w:t>, he is required to take a second distribution by December 31</w:t>
      </w:r>
      <w:r w:rsidR="008F30DF" w:rsidRPr="008F30DF">
        <w:rPr>
          <w:szCs w:val="22"/>
          <w:vertAlign w:val="superscript"/>
        </w:rPr>
        <w:t>st</w:t>
      </w:r>
      <w:r w:rsidR="008F30DF">
        <w:rPr>
          <w:szCs w:val="22"/>
        </w:rPr>
        <w:t xml:space="preserve"> of the same year, based on his IRA account balance on December 31, 20</w:t>
      </w:r>
      <w:r w:rsidR="00347FF1">
        <w:rPr>
          <w:szCs w:val="22"/>
        </w:rPr>
        <w:t>1</w:t>
      </w:r>
      <w:r w:rsidR="003949A2">
        <w:rPr>
          <w:szCs w:val="22"/>
        </w:rPr>
        <w:t>4</w:t>
      </w:r>
      <w:r w:rsidR="008F30DF">
        <w:rPr>
          <w:szCs w:val="22"/>
        </w:rPr>
        <w:t>.</w:t>
      </w:r>
      <w:r w:rsidR="00297ACB">
        <w:rPr>
          <w:szCs w:val="22"/>
        </w:rPr>
        <w:t xml:space="preserve"> </w:t>
      </w:r>
      <w:r w:rsidR="008F30DF">
        <w:rPr>
          <w:szCs w:val="22"/>
        </w:rPr>
        <w:t>If Joe’s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8F30DF">
        <w:rPr>
          <w:szCs w:val="22"/>
        </w:rPr>
        <w:t xml:space="preserve"> account balance has earned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8F30DF">
        <w:rPr>
          <w:szCs w:val="22"/>
        </w:rPr>
        <w:t xml:space="preserve"> at 5 percent, the balance in </w:t>
      </w:r>
      <w:r w:rsidR="00DF6960">
        <w:rPr>
          <w:szCs w:val="22"/>
        </w:rPr>
        <w:t>the account on December 31, 20</w:t>
      </w:r>
      <w:r w:rsidR="00347FF1">
        <w:rPr>
          <w:szCs w:val="22"/>
        </w:rPr>
        <w:t>1</w:t>
      </w:r>
      <w:r w:rsidR="003949A2">
        <w:rPr>
          <w:szCs w:val="22"/>
        </w:rPr>
        <w:t>4</w:t>
      </w:r>
      <w:r w:rsidR="008F30DF">
        <w:rPr>
          <w:szCs w:val="22"/>
        </w:rPr>
        <w:t xml:space="preserve"> is $315,000, and he will be age 72 in the year for which this second </w:t>
      </w:r>
      <w:r>
        <w:rPr>
          <w:szCs w:val="22"/>
        </w:rPr>
        <w:t>R</w:t>
      </w:r>
      <w:r w:rsidR="00972376">
        <w:rPr>
          <w:szCs w:val="22"/>
        </w:rPr>
        <w:t>M</w:t>
      </w:r>
      <w:r>
        <w:rPr>
          <w:szCs w:val="22"/>
        </w:rPr>
        <w:t>D</w:t>
      </w:r>
      <w:r w:rsidR="00DF6960">
        <w:rPr>
          <w:szCs w:val="22"/>
        </w:rPr>
        <w:t xml:space="preserve"> is taken (20</w:t>
      </w:r>
      <w:r w:rsidR="006E5544">
        <w:rPr>
          <w:szCs w:val="22"/>
        </w:rPr>
        <w:t>1</w:t>
      </w:r>
      <w:r w:rsidR="003949A2">
        <w:rPr>
          <w:szCs w:val="22"/>
        </w:rPr>
        <w:t>5</w:t>
      </w:r>
      <w:r w:rsidR="008F30DF">
        <w:rPr>
          <w:szCs w:val="22"/>
        </w:rPr>
        <w:t>).</w:t>
      </w:r>
      <w:r w:rsidR="00297ACB">
        <w:rPr>
          <w:szCs w:val="22"/>
        </w:rPr>
        <w:t xml:space="preserve"> </w:t>
      </w:r>
      <w:r w:rsidR="008F30DF">
        <w:rPr>
          <w:szCs w:val="22"/>
        </w:rPr>
        <w:t xml:space="preserve">Because the distribution period for someone age 72 is 25.6, the balance must be divided by 25.6, producing an </w:t>
      </w:r>
      <w:r>
        <w:rPr>
          <w:szCs w:val="22"/>
        </w:rPr>
        <w:t>R</w:t>
      </w:r>
      <w:r w:rsidR="00972376">
        <w:rPr>
          <w:szCs w:val="22"/>
        </w:rPr>
        <w:t>M</w:t>
      </w:r>
      <w:r>
        <w:rPr>
          <w:szCs w:val="22"/>
        </w:rPr>
        <w:t>D</w:t>
      </w:r>
      <w:r w:rsidR="008F30DF">
        <w:rPr>
          <w:szCs w:val="22"/>
        </w:rPr>
        <w:t xml:space="preserve"> of $12,305.</w:t>
      </w:r>
      <w:r w:rsidR="00297ACB">
        <w:rPr>
          <w:szCs w:val="22"/>
        </w:rPr>
        <w:t xml:space="preserve"> </w:t>
      </w:r>
      <w:r w:rsidR="008F30DF">
        <w:rPr>
          <w:szCs w:val="22"/>
        </w:rPr>
        <w:t>($315,000 ÷ 25.6 = $12,304.69)</w:t>
      </w:r>
      <w:r w:rsidR="00297ACB">
        <w:rPr>
          <w:szCs w:val="22"/>
        </w:rPr>
        <w:t xml:space="preserve"> </w:t>
      </w:r>
      <w:r w:rsidR="006854B4">
        <w:rPr>
          <w:szCs w:val="22"/>
        </w:rPr>
        <w:t xml:space="preserve">In each subsequent year, Joe must take an </w:t>
      </w:r>
      <w:r>
        <w:rPr>
          <w:szCs w:val="22"/>
        </w:rPr>
        <w:t>R</w:t>
      </w:r>
      <w:r w:rsidR="00972376">
        <w:rPr>
          <w:szCs w:val="22"/>
        </w:rPr>
        <w:t>M</w:t>
      </w:r>
      <w:r>
        <w:rPr>
          <w:szCs w:val="22"/>
        </w:rPr>
        <w:t>D</w:t>
      </w:r>
      <w:r w:rsidR="006854B4">
        <w:rPr>
          <w:szCs w:val="22"/>
        </w:rPr>
        <w:t xml:space="preserve"> at least equal to the account balance on the previous December 31</w:t>
      </w:r>
      <w:r w:rsidR="006854B4" w:rsidRPr="006854B4">
        <w:rPr>
          <w:szCs w:val="22"/>
          <w:vertAlign w:val="superscript"/>
        </w:rPr>
        <w:t>st</w:t>
      </w:r>
      <w:r w:rsidR="006854B4">
        <w:rPr>
          <w:szCs w:val="22"/>
        </w:rPr>
        <w:t xml:space="preserve"> divided by the distribution period for his age in the distribution year according to the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sidR="006854B4">
        <w:rPr>
          <w:szCs w:val="22"/>
        </w:rPr>
        <w:t>.</w:t>
      </w:r>
      <w:r w:rsidR="00297ACB">
        <w:rPr>
          <w:szCs w:val="22"/>
        </w:rPr>
        <w:t xml:space="preserve"> </w:t>
      </w:r>
      <w:r w:rsidR="008F30DF">
        <w:rPr>
          <w:szCs w:val="22"/>
        </w:rPr>
        <w:t xml:space="preserve">It should be clear that Joe Bass may certainly take a distribution that is </w:t>
      </w:r>
      <w:r w:rsidR="008F30DF">
        <w:rPr>
          <w:i/>
          <w:szCs w:val="22"/>
        </w:rPr>
        <w:t>greater</w:t>
      </w:r>
      <w:r w:rsidR="008F30DF">
        <w:rPr>
          <w:szCs w:val="22"/>
        </w:rPr>
        <w:t xml:space="preserve"> than the </w:t>
      </w:r>
      <w:r>
        <w:rPr>
          <w:szCs w:val="22"/>
        </w:rPr>
        <w:t>R</w:t>
      </w:r>
      <w:r w:rsidR="00972376">
        <w:rPr>
          <w:szCs w:val="22"/>
        </w:rPr>
        <w:t>M</w:t>
      </w:r>
      <w:r>
        <w:rPr>
          <w:szCs w:val="22"/>
        </w:rPr>
        <w:t>D</w:t>
      </w:r>
      <w:r w:rsidR="006854B4">
        <w:rPr>
          <w:szCs w:val="22"/>
        </w:rPr>
        <w:t>.</w:t>
      </w:r>
      <w:r w:rsidR="00297ACB">
        <w:rPr>
          <w:szCs w:val="22"/>
        </w:rPr>
        <w:t xml:space="preserve"> </w:t>
      </w:r>
      <w:r w:rsidR="006854B4">
        <w:rPr>
          <w:szCs w:val="22"/>
        </w:rPr>
        <w:t xml:space="preserve">He cannot take a distribution that is </w:t>
      </w:r>
      <w:r w:rsidR="006854B4">
        <w:rPr>
          <w:i/>
          <w:szCs w:val="22"/>
        </w:rPr>
        <w:t>less</w:t>
      </w:r>
      <w:r w:rsidR="006854B4">
        <w:rPr>
          <w:szCs w:val="22"/>
        </w:rPr>
        <w:t xml:space="preserve"> than the </w:t>
      </w:r>
      <w:r>
        <w:rPr>
          <w:szCs w:val="22"/>
        </w:rPr>
        <w:t>R</w:t>
      </w:r>
      <w:r w:rsidR="00972376">
        <w:rPr>
          <w:szCs w:val="22"/>
        </w:rPr>
        <w:t>M</w:t>
      </w:r>
      <w:r>
        <w:rPr>
          <w:szCs w:val="22"/>
        </w:rPr>
        <w:t>D</w:t>
      </w:r>
      <w:r w:rsidR="006854B4">
        <w:rPr>
          <w:szCs w:val="22"/>
        </w:rPr>
        <w:t xml:space="preserve"> without incurring tax penalties.</w:t>
      </w:r>
    </w:p>
    <w:p w14:paraId="7F6EB3B2" w14:textId="77777777" w:rsidR="006B685D" w:rsidRDefault="006B685D" w:rsidP="006B685D">
      <w:pPr>
        <w:pStyle w:val="Heading3"/>
      </w:pPr>
      <w:bookmarkStart w:id="51" w:name="_Toc250473302"/>
      <w:bookmarkStart w:id="52" w:name="_Toc404357165"/>
      <w:r>
        <w:t>Required Distributions at Owner’s Death</w:t>
      </w:r>
      <w:bookmarkEnd w:id="51"/>
      <w:bookmarkEnd w:id="52"/>
    </w:p>
    <w:p w14:paraId="54F0AA0D" w14:textId="77777777" w:rsidR="006B685D" w:rsidRDefault="006B685D" w:rsidP="006B685D">
      <w:r>
        <w:t>Not only are distributions required during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owner’s lifetime, they are also required at his or her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The rules governing required distributions at death</w:t>
      </w:r>
      <w:r w:rsidR="00A95039">
        <w:fldChar w:fldCharType="begin"/>
      </w:r>
      <w:r w:rsidR="00293611">
        <w:instrText xml:space="preserve"> XE "</w:instrText>
      </w:r>
      <w:r w:rsidR="00293611" w:rsidRPr="00CD56BD">
        <w:instrText>required distributions at death</w:instrText>
      </w:r>
      <w:r w:rsidR="00293611">
        <w:instrText xml:space="preserve">" </w:instrText>
      </w:r>
      <w:r w:rsidR="00A95039">
        <w:fldChar w:fldCharType="end"/>
      </w:r>
      <w:r>
        <w:t xml:space="preserve"> vary, however, depending on whether the </w:t>
      </w:r>
      <w:r w:rsidR="00364424">
        <w:t xml:space="preserve">IRA </w:t>
      </w:r>
      <w:r>
        <w:t>owner died:</w:t>
      </w:r>
    </w:p>
    <w:p w14:paraId="2FB88E43" w14:textId="77777777" w:rsidR="006B685D" w:rsidRDefault="006B685D" w:rsidP="007A5E54">
      <w:pPr>
        <w:pStyle w:val="ListParagraph"/>
        <w:numPr>
          <w:ilvl w:val="0"/>
          <w:numId w:val="122"/>
        </w:numPr>
        <w:spacing w:before="120"/>
        <w:ind w:left="720"/>
      </w:pPr>
      <w:r>
        <w:t>Before the required beginning date</w:t>
      </w:r>
      <w:r w:rsidR="00A95039">
        <w:fldChar w:fldCharType="begin"/>
      </w:r>
      <w:r w:rsidR="00293611">
        <w:instrText xml:space="preserve"> XE "</w:instrText>
      </w:r>
      <w:r w:rsidR="00293611" w:rsidRPr="00D5227F">
        <w:rPr>
          <w:szCs w:val="22"/>
        </w:rPr>
        <w:instrText>required beginning date</w:instrText>
      </w:r>
      <w:r w:rsidR="00293611">
        <w:instrText xml:space="preserve">" </w:instrText>
      </w:r>
      <w:r w:rsidR="00A95039">
        <w:fldChar w:fldCharType="end"/>
      </w:r>
      <w:r>
        <w:t>; or</w:t>
      </w:r>
    </w:p>
    <w:p w14:paraId="56367C80" w14:textId="77777777" w:rsidR="006B685D" w:rsidRDefault="006B685D" w:rsidP="007A5E54">
      <w:pPr>
        <w:pStyle w:val="ListParagraph"/>
        <w:numPr>
          <w:ilvl w:val="0"/>
          <w:numId w:val="122"/>
        </w:numPr>
        <w:spacing w:before="120"/>
        <w:ind w:left="720"/>
      </w:pPr>
      <w:r>
        <w:t>On or after the required beginning date</w:t>
      </w:r>
      <w:r w:rsidR="00A95039">
        <w:fldChar w:fldCharType="begin"/>
      </w:r>
      <w:r w:rsidR="00293611">
        <w:instrText xml:space="preserve"> XE "</w:instrText>
      </w:r>
      <w:r w:rsidR="00293611" w:rsidRPr="00D5227F">
        <w:rPr>
          <w:szCs w:val="22"/>
        </w:rPr>
        <w:instrText>required beginning date</w:instrText>
      </w:r>
      <w:r w:rsidR="00293611">
        <w:instrText xml:space="preserve">" </w:instrText>
      </w:r>
      <w:r w:rsidR="00A95039">
        <w:fldChar w:fldCharType="end"/>
      </w:r>
      <w:r>
        <w:t>.</w:t>
      </w:r>
    </w:p>
    <w:p w14:paraId="03532461" w14:textId="77777777" w:rsidR="006B685D" w:rsidRDefault="006B685D" w:rsidP="006B685D">
      <w:r>
        <w:t xml:space="preserve">The </w:t>
      </w:r>
      <w:r w:rsidRPr="00A44A45">
        <w:t>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rPr>
          <w:b/>
        </w:rPr>
        <w:t xml:space="preserve"> </w:t>
      </w:r>
      <w:r>
        <w:t>for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is April 1</w:t>
      </w:r>
      <w:r w:rsidRPr="004A722C">
        <w:rPr>
          <w:vertAlign w:val="superscript"/>
        </w:rPr>
        <w:t>st</w:t>
      </w:r>
      <w:r>
        <w:t xml:space="preserve"> of the year following the year in which </w:t>
      </w:r>
      <w:r w:rsidR="00364424">
        <w:t>t</w:t>
      </w:r>
      <w:r>
        <w:t xml:space="preserve">he </w:t>
      </w:r>
      <w:r w:rsidR="00364424">
        <w:t xml:space="preserve">owner became </w:t>
      </w:r>
      <w:r>
        <w:t xml:space="preserve">or </w:t>
      </w:r>
      <w:r w:rsidR="00364424">
        <w:t>would have</w:t>
      </w:r>
      <w:r>
        <w:t xml:space="preserve"> become age 70½</w:t>
      </w:r>
      <w:r w:rsidR="00A95039">
        <w:fldChar w:fldCharType="begin"/>
      </w:r>
      <w:r w:rsidR="00293611">
        <w:instrText xml:space="preserve"> XE "</w:instrText>
      </w:r>
      <w:r w:rsidR="00293611" w:rsidRPr="00CD56BD">
        <w:rPr>
          <w:szCs w:val="22"/>
        </w:rPr>
        <w:instrText>age 70½</w:instrText>
      </w:r>
      <w:r w:rsidR="00293611">
        <w:instrText xml:space="preserve">" </w:instrText>
      </w:r>
      <w:r w:rsidR="00A95039">
        <w:fldChar w:fldCharType="end"/>
      </w:r>
      <w:r>
        <w:t>.</w:t>
      </w:r>
    </w:p>
    <w:p w14:paraId="27A7439A" w14:textId="77777777" w:rsidR="006B685D" w:rsidRDefault="006B685D" w:rsidP="006B685D">
      <w:pPr>
        <w:pStyle w:val="Heading4"/>
      </w:pPr>
      <w:bookmarkStart w:id="53" w:name="_Toc249879641"/>
      <w:bookmarkStart w:id="54" w:name="_Toc250473303"/>
      <w:bookmarkStart w:id="55" w:name="_Toc404357166"/>
      <w:r>
        <w:t>Death before an Owner’s Required Beginning Date</w:t>
      </w:r>
      <w:bookmarkEnd w:id="53"/>
      <w:bookmarkEnd w:id="54"/>
      <w:bookmarkEnd w:id="55"/>
    </w:p>
    <w:p w14:paraId="56D944C9" w14:textId="77777777" w:rsidR="006B685D" w:rsidRDefault="006B685D" w:rsidP="006B685D">
      <w:r>
        <w:t>If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occurs before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distributions must normally be made pursuant to the:</w:t>
      </w:r>
    </w:p>
    <w:p w14:paraId="6830BBB1" w14:textId="77777777" w:rsidR="006B685D" w:rsidRDefault="006B685D" w:rsidP="007A5E54">
      <w:pPr>
        <w:pStyle w:val="ListParagraph"/>
        <w:numPr>
          <w:ilvl w:val="0"/>
          <w:numId w:val="123"/>
        </w:numPr>
        <w:spacing w:before="120"/>
        <w:ind w:left="720"/>
      </w:pPr>
      <w:r>
        <w:t>Life expectancy rule; or</w:t>
      </w:r>
    </w:p>
    <w:p w14:paraId="309D6BFD" w14:textId="77777777" w:rsidR="006B685D" w:rsidRDefault="006B685D" w:rsidP="007A5E54">
      <w:pPr>
        <w:pStyle w:val="ListParagraph"/>
        <w:numPr>
          <w:ilvl w:val="0"/>
          <w:numId w:val="123"/>
        </w:numPr>
        <w:spacing w:before="120"/>
        <w:ind w:left="720"/>
      </w:pPr>
      <w:r>
        <w:t>Five-year rule.</w:t>
      </w:r>
    </w:p>
    <w:p w14:paraId="224497F6" w14:textId="77777777" w:rsidR="006B685D" w:rsidRDefault="006B685D" w:rsidP="006B685D">
      <w:pPr>
        <w:pStyle w:val="Heading5"/>
      </w:pPr>
      <w:bookmarkStart w:id="56" w:name="_Toc249879642"/>
      <w:bookmarkStart w:id="57" w:name="_Toc250473304"/>
      <w:bookmarkStart w:id="58" w:name="_Toc404357167"/>
      <w:r>
        <w:t>Life Expectancy Rule</w:t>
      </w:r>
      <w:bookmarkEnd w:id="56"/>
      <w:bookmarkEnd w:id="57"/>
      <w:bookmarkEnd w:id="58"/>
    </w:p>
    <w:p w14:paraId="3C86840C" w14:textId="77777777" w:rsidR="006B685D" w:rsidRDefault="006B685D" w:rsidP="006B685D">
      <w:r>
        <w:t>If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beneficiary elects to receive a distribution under the life expectancy rule</w:t>
      </w:r>
      <w:r w:rsidR="00A95039">
        <w:fldChar w:fldCharType="begin"/>
      </w:r>
      <w:r w:rsidR="00293611">
        <w:instrText xml:space="preserve"> XE "</w:instrText>
      </w:r>
      <w:r w:rsidR="00293611" w:rsidRPr="00CD56BD">
        <w:instrText>life expectancy rule</w:instrText>
      </w:r>
      <w:r w:rsidR="00293611">
        <w:instrText xml:space="preserve">" </w:instrText>
      </w:r>
      <w:r w:rsidR="00A95039">
        <w:fldChar w:fldCharType="end"/>
      </w:r>
      <w:r>
        <w:t>, the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w:t>
      </w:r>
      <w:r w:rsidR="00684B4C">
        <w:t xml:space="preserve">in the IRA </w:t>
      </w:r>
      <w:r>
        <w:t xml:space="preserve">must be distributed over </w:t>
      </w:r>
      <w:r w:rsidR="00684B4C">
        <w:t xml:space="preserve">the beneficiary’s </w:t>
      </w:r>
      <w:r>
        <w:t xml:space="preserve">life or life expectancy and must start no </w:t>
      </w:r>
      <w:r>
        <w:lastRenderedPageBreak/>
        <w:t>later than the end of the calendar year immediately following the year of the IRA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The life expectancy distribution rules are changed somewhat when the beneficiary is a surviving spouse. </w:t>
      </w:r>
    </w:p>
    <w:p w14:paraId="0F84855F" w14:textId="77777777" w:rsidR="006B685D" w:rsidRDefault="006B685D" w:rsidP="006B685D">
      <w:pPr>
        <w:pStyle w:val="Heading6"/>
      </w:pPr>
      <w:bookmarkStart w:id="59" w:name="_Toc249879643"/>
      <w:bookmarkStart w:id="60" w:name="_Toc250473305"/>
      <w:r>
        <w:t>Surviving Spouse’s</w:t>
      </w:r>
      <w:bookmarkEnd w:id="59"/>
      <w:r>
        <w:t xml:space="preserve"> Life Expectancy Rule</w:t>
      </w:r>
      <w:bookmarkEnd w:id="60"/>
    </w:p>
    <w:p w14:paraId="69FD4C26" w14:textId="77777777" w:rsidR="006B685D" w:rsidRDefault="006B685D" w:rsidP="006B685D">
      <w:r>
        <w:t>A surviving spouse beneficiary</w:t>
      </w:r>
      <w:r w:rsidR="00A95039">
        <w:fldChar w:fldCharType="begin"/>
      </w:r>
      <w:r w:rsidR="00293611">
        <w:instrText xml:space="preserve"> XE "</w:instrText>
      </w:r>
      <w:r w:rsidR="00293611" w:rsidRPr="00CD56BD">
        <w:instrText>surviving spouse beneficiary</w:instrText>
      </w:r>
      <w:r w:rsidR="00293611">
        <w:instrText xml:space="preserve">" </w:instrText>
      </w:r>
      <w:r w:rsidR="00A95039">
        <w:fldChar w:fldCharType="end"/>
      </w:r>
      <w:r>
        <w:t xml:space="preserve"> may choose to treat the deceased owner’s IRA as his or her own. However, if the surviving spouse does not choose to treat the IRA as his or her own and chooses</w:t>
      </w:r>
      <w:r w:rsidR="00684B4C">
        <w:t>, instead,</w:t>
      </w:r>
      <w:r>
        <w:t xml:space="preserve"> to take distributions over life expectancy, such distributions must begin by the later of the end of the calendar year:</w:t>
      </w:r>
    </w:p>
    <w:p w14:paraId="355F4850" w14:textId="77777777" w:rsidR="006B685D" w:rsidRDefault="006B685D" w:rsidP="007A5E54">
      <w:pPr>
        <w:pStyle w:val="ListParagraph"/>
        <w:numPr>
          <w:ilvl w:val="0"/>
          <w:numId w:val="124"/>
        </w:numPr>
        <w:spacing w:before="120"/>
        <w:ind w:left="720"/>
      </w:pPr>
      <w:r>
        <w:t>Immediately following the calendar year in which the IRA owner died; or</w:t>
      </w:r>
    </w:p>
    <w:p w14:paraId="2365FE3B" w14:textId="77777777" w:rsidR="006B685D" w:rsidRDefault="006B685D" w:rsidP="007A5E54">
      <w:pPr>
        <w:pStyle w:val="ListParagraph"/>
        <w:numPr>
          <w:ilvl w:val="0"/>
          <w:numId w:val="124"/>
        </w:numPr>
        <w:spacing w:before="120"/>
        <w:ind w:left="720"/>
      </w:pPr>
      <w:r>
        <w:t>In which the owner would have reached age 70½</w:t>
      </w:r>
      <w:r w:rsidR="00A95039">
        <w:fldChar w:fldCharType="begin"/>
      </w:r>
      <w:r w:rsidR="00293611">
        <w:instrText xml:space="preserve"> XE "</w:instrText>
      </w:r>
      <w:r w:rsidR="00293611" w:rsidRPr="00D5227F">
        <w:rPr>
          <w:szCs w:val="22"/>
        </w:rPr>
        <w:instrText>age 70½</w:instrText>
      </w:r>
      <w:r w:rsidR="00293611">
        <w:instrText xml:space="preserve">" </w:instrText>
      </w:r>
      <w:r w:rsidR="00A95039">
        <w:fldChar w:fldCharType="end"/>
      </w:r>
      <w:r>
        <w:t>.</w:t>
      </w:r>
    </w:p>
    <w:p w14:paraId="1AD6D6C2" w14:textId="77777777" w:rsidR="006B685D" w:rsidRDefault="006B685D" w:rsidP="006B685D">
      <w:pPr>
        <w:pStyle w:val="Heading5"/>
      </w:pPr>
      <w:bookmarkStart w:id="61" w:name="_Toc249879644"/>
      <w:bookmarkStart w:id="62" w:name="_Toc250473306"/>
      <w:bookmarkStart w:id="63" w:name="_Toc404357168"/>
      <w:r>
        <w:t>Five-Year Rule</w:t>
      </w:r>
      <w:bookmarkEnd w:id="61"/>
      <w:bookmarkEnd w:id="62"/>
      <w:bookmarkEnd w:id="63"/>
    </w:p>
    <w:p w14:paraId="3EF9823B" w14:textId="77777777" w:rsidR="006B685D" w:rsidRDefault="006B685D" w:rsidP="006B685D">
      <w:r>
        <w:t>In an IRA distribution taken under the five-year rule</w:t>
      </w:r>
      <w:r w:rsidR="00A95039">
        <w:fldChar w:fldCharType="begin"/>
      </w:r>
      <w:r w:rsidR="00293611">
        <w:instrText xml:space="preserve"> XE "</w:instrText>
      </w:r>
      <w:r w:rsidR="00293611" w:rsidRPr="00CD56BD">
        <w:instrText>five-year rule</w:instrText>
      </w:r>
      <w:r w:rsidR="00293611">
        <w:instrText xml:space="preserve">" </w:instrText>
      </w:r>
      <w:r w:rsidR="00A95039">
        <w:fldChar w:fldCharType="end"/>
      </w:r>
      <w:r>
        <w:t>, a beneficiary's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must be completely distributed within five years following the IRA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w:t>
      </w:r>
    </w:p>
    <w:p w14:paraId="0505DC4A" w14:textId="77777777" w:rsidR="006B685D" w:rsidRPr="00624568" w:rsidRDefault="006B685D" w:rsidP="006B685D">
      <w:pPr>
        <w:pStyle w:val="Heading5"/>
      </w:pPr>
      <w:bookmarkStart w:id="64" w:name="_Toc249879645"/>
      <w:bookmarkStart w:id="65" w:name="_Toc250473307"/>
      <w:bookmarkStart w:id="66" w:name="_Toc404357169"/>
      <w:r>
        <w:t>Surviving Spouse’s Election</w:t>
      </w:r>
      <w:bookmarkEnd w:id="64"/>
      <w:bookmarkEnd w:id="65"/>
      <w:bookmarkEnd w:id="66"/>
    </w:p>
    <w:p w14:paraId="4CE0C7F7" w14:textId="77777777" w:rsidR="006B685D" w:rsidRDefault="006B685D" w:rsidP="006B685D">
      <w:r>
        <w:t xml:space="preserve">Under certain circumstances, a surviving spouse may elect to treat the IRA as his or her own and be considered—for all income tax purposes—as the IRA owner. In order to make such an election, the surviving spouse: </w:t>
      </w:r>
    </w:p>
    <w:p w14:paraId="66643AB3" w14:textId="77777777" w:rsidR="006B685D" w:rsidRDefault="006B685D" w:rsidP="007A5E54">
      <w:pPr>
        <w:pStyle w:val="ListParagraph"/>
        <w:numPr>
          <w:ilvl w:val="0"/>
          <w:numId w:val="125"/>
        </w:numPr>
        <w:spacing w:before="120"/>
        <w:ind w:left="720"/>
      </w:pPr>
      <w:r>
        <w:t xml:space="preserve">Must be the sole beneficiary; and </w:t>
      </w:r>
    </w:p>
    <w:p w14:paraId="2E2CDB6A" w14:textId="77777777" w:rsidR="006B685D" w:rsidRDefault="006B685D" w:rsidP="007A5E54">
      <w:pPr>
        <w:pStyle w:val="ListParagraph"/>
        <w:numPr>
          <w:ilvl w:val="0"/>
          <w:numId w:val="125"/>
        </w:numPr>
        <w:spacing w:before="120"/>
        <w:ind w:left="720"/>
      </w:pPr>
      <w:r>
        <w:t>Must have an unlimited right to make withdrawals.</w:t>
      </w:r>
    </w:p>
    <w:p w14:paraId="09EA4B0D" w14:textId="77777777" w:rsidR="006B685D" w:rsidRDefault="006B685D" w:rsidP="006B685D">
      <w:r>
        <w:t>If the spouse is eligible for and makes the surviving spouse’s election</w:t>
      </w:r>
      <w:r w:rsidR="00A95039">
        <w:fldChar w:fldCharType="begin"/>
      </w:r>
      <w:r w:rsidR="00293611">
        <w:instrText xml:space="preserve"> XE "</w:instrText>
      </w:r>
      <w:r w:rsidR="00293611" w:rsidRPr="00CD56BD">
        <w:instrText>surviving spouse’s election</w:instrText>
      </w:r>
      <w:r w:rsidR="00293611">
        <w:instrText xml:space="preserve">" </w:instrText>
      </w:r>
      <w:r w:rsidR="00A95039">
        <w:fldChar w:fldCharType="end"/>
      </w:r>
      <w:r>
        <w:t xml:space="preserve">, withdrawals made by the spouse before </w:t>
      </w:r>
      <w:r w:rsidR="00684B4C">
        <w:t xml:space="preserve">the spouse’s </w:t>
      </w:r>
      <w:r>
        <w:t>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t xml:space="preserve"> would be subject to a premature distribution tax penalty. Furthermore, RMDs from the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must begin no later than April 1</w:t>
      </w:r>
      <w:r w:rsidRPr="004A324B">
        <w:rPr>
          <w:vertAlign w:val="superscript"/>
        </w:rPr>
        <w:t>st</w:t>
      </w:r>
      <w:r>
        <w:t xml:space="preserve"> of the year following the year the surviving spouse reaches age 70½</w:t>
      </w:r>
      <w:r w:rsidR="00A95039">
        <w:fldChar w:fldCharType="begin"/>
      </w:r>
      <w:r w:rsidR="00293611">
        <w:instrText xml:space="preserve"> XE "</w:instrText>
      </w:r>
      <w:r w:rsidR="00293611" w:rsidRPr="00CD56BD">
        <w:rPr>
          <w:szCs w:val="22"/>
        </w:rPr>
        <w:instrText>age 70½</w:instrText>
      </w:r>
      <w:r w:rsidR="00293611">
        <w:instrText xml:space="preserve">" </w:instrText>
      </w:r>
      <w:r w:rsidR="00A95039">
        <w:fldChar w:fldCharType="end"/>
      </w:r>
      <w:r>
        <w:t>.</w:t>
      </w:r>
    </w:p>
    <w:p w14:paraId="7C4DE785" w14:textId="77777777" w:rsidR="006B685D" w:rsidRDefault="006B685D" w:rsidP="006B685D">
      <w:pPr>
        <w:pStyle w:val="Heading4"/>
      </w:pPr>
      <w:bookmarkStart w:id="67" w:name="_Toc249879646"/>
      <w:bookmarkStart w:id="68" w:name="_Toc250473308"/>
      <w:bookmarkStart w:id="69" w:name="_Toc404357170"/>
      <w:r>
        <w:t>Death On or After the Required Beginning Date</w:t>
      </w:r>
      <w:bookmarkEnd w:id="67"/>
      <w:bookmarkEnd w:id="68"/>
      <w:bookmarkEnd w:id="69"/>
    </w:p>
    <w:p w14:paraId="53B7C330" w14:textId="77777777" w:rsidR="006B685D" w:rsidRDefault="006B685D" w:rsidP="006B685D">
      <w:r>
        <w:t>If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occurs on or after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xml:space="preserve"> but before the entire IRA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has been distributed, the balance of the IRA must be distributed at least as quickly as under the method of distribution in effect at the time of the traditional IRA owner’s death.</w:t>
      </w:r>
    </w:p>
    <w:p w14:paraId="4BC7FB9A" w14:textId="77777777" w:rsidR="00524869" w:rsidRPr="00532CBC" w:rsidRDefault="00524869" w:rsidP="001D0C0A">
      <w:pPr>
        <w:pStyle w:val="Heading2"/>
      </w:pPr>
      <w:bookmarkStart w:id="70" w:name="_Toc48025256"/>
      <w:bookmarkStart w:id="71" w:name="_Toc404357171"/>
      <w:r w:rsidRPr="00532CBC">
        <w:t>Summary</w:t>
      </w:r>
      <w:bookmarkEnd w:id="70"/>
      <w:bookmarkEnd w:id="71"/>
    </w:p>
    <w:p w14:paraId="520C23C0" w14:textId="77777777" w:rsidR="00524869" w:rsidRDefault="00DC191B" w:rsidP="00825E0B">
      <w:pPr>
        <w:rPr>
          <w:szCs w:val="22"/>
        </w:rPr>
      </w:pPr>
      <w:r>
        <w:rPr>
          <w:szCs w:val="22"/>
        </w:rPr>
        <w:t xml:space="preserve">A basic tenet of tax law </w:t>
      </w:r>
      <w:r w:rsidR="00567D01">
        <w:rPr>
          <w:szCs w:val="22"/>
        </w:rPr>
        <w:t>(with certain exceptions that we will examine shortly) calls for the taxation of virtually all income.</w:t>
      </w:r>
      <w:r w:rsidR="00297ACB">
        <w:rPr>
          <w:szCs w:val="22"/>
        </w:rPr>
        <w:t xml:space="preserve"> </w:t>
      </w:r>
      <w:r w:rsidR="00567D01">
        <w:rPr>
          <w:szCs w:val="22"/>
        </w:rPr>
        <w:t xml:space="preserve">If taxation on income is deferred to some </w:t>
      </w:r>
      <w:r w:rsidR="00684B4C">
        <w:rPr>
          <w:szCs w:val="22"/>
        </w:rPr>
        <w:t>date</w:t>
      </w:r>
      <w:r w:rsidR="00567D01">
        <w:rPr>
          <w:szCs w:val="22"/>
        </w:rPr>
        <w:t xml:space="preserve"> in the future, th</w:t>
      </w:r>
      <w:r w:rsidR="00684B4C">
        <w:rPr>
          <w:szCs w:val="22"/>
        </w:rPr>
        <w:t>e</w:t>
      </w:r>
      <w:r w:rsidR="00567D01">
        <w:rPr>
          <w:szCs w:val="22"/>
        </w:rPr>
        <w:t xml:space="preserve"> income </w:t>
      </w:r>
      <w:r w:rsidR="00684B4C">
        <w:rPr>
          <w:szCs w:val="22"/>
        </w:rPr>
        <w:t xml:space="preserve">deferred </w:t>
      </w:r>
      <w:r w:rsidR="00567D01">
        <w:rPr>
          <w:szCs w:val="22"/>
        </w:rPr>
        <w:t>is generally taxable at the end of the deferral period.</w:t>
      </w:r>
      <w:r w:rsidR="00297ACB">
        <w:rPr>
          <w:szCs w:val="22"/>
        </w:rPr>
        <w:t xml:space="preserve"> </w:t>
      </w:r>
      <w:r w:rsidR="00567D01">
        <w:rPr>
          <w:szCs w:val="22"/>
        </w:rPr>
        <w:t xml:space="preserve">Traditional IRAs generally allow owners to enjoy a deferral on the taxation of </w:t>
      </w:r>
      <w:r w:rsidR="00567D01">
        <w:rPr>
          <w:i/>
          <w:szCs w:val="22"/>
        </w:rPr>
        <w:t>earned income</w:t>
      </w:r>
      <w:r w:rsidR="00A95039">
        <w:rPr>
          <w:i/>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i/>
          <w:szCs w:val="22"/>
        </w:rPr>
        <w:fldChar w:fldCharType="end"/>
      </w:r>
      <w:r w:rsidR="00567D01">
        <w:rPr>
          <w:szCs w:val="22"/>
        </w:rPr>
        <w:t xml:space="preserve"> through tax-deductible contributions and of </w:t>
      </w:r>
      <w:r w:rsidR="00581269">
        <w:rPr>
          <w:i/>
          <w:szCs w:val="22"/>
        </w:rPr>
        <w:t xml:space="preserve">investment </w:t>
      </w:r>
      <w:r w:rsidR="00567D01">
        <w:rPr>
          <w:i/>
          <w:szCs w:val="22"/>
        </w:rPr>
        <w:t>income</w:t>
      </w:r>
      <w:r w:rsidR="00567D01">
        <w:rPr>
          <w:szCs w:val="22"/>
        </w:rPr>
        <w:t xml:space="preserve"> through tax-deferral of earnings.</w:t>
      </w:r>
      <w:r w:rsidR="00297ACB">
        <w:rPr>
          <w:szCs w:val="22"/>
        </w:rPr>
        <w:t xml:space="preserve"> </w:t>
      </w:r>
      <w:r w:rsidR="00567D01">
        <w:rPr>
          <w:szCs w:val="22"/>
        </w:rPr>
        <w:t>When those amounts are subsequently disbursed, they are subject to income taxation at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sidR="00567D01">
        <w:rPr>
          <w:szCs w:val="22"/>
        </w:rPr>
        <w:t xml:space="preserve"> rates.</w:t>
      </w:r>
      <w:r w:rsidR="00297ACB">
        <w:rPr>
          <w:szCs w:val="22"/>
        </w:rPr>
        <w:t xml:space="preserve"> </w:t>
      </w:r>
      <w:r w:rsidR="00567D01">
        <w:rPr>
          <w:szCs w:val="22"/>
        </w:rPr>
        <w:t>Any non-deductible contributions</w:t>
      </w:r>
      <w:r w:rsidR="00684B4C">
        <w:rPr>
          <w:szCs w:val="22"/>
        </w:rPr>
        <w:t xml:space="preserve"> </w:t>
      </w:r>
      <w:r w:rsidR="00684B4C">
        <w:t>(but not the earnings on the nondeductible contributions)</w:t>
      </w:r>
      <w:r w:rsidR="00567D01">
        <w:rPr>
          <w:szCs w:val="22"/>
        </w:rPr>
        <w:t xml:space="preserve"> are received tax-free.</w:t>
      </w:r>
    </w:p>
    <w:p w14:paraId="36C470AA" w14:textId="77777777" w:rsidR="00567D01" w:rsidRDefault="00567D01" w:rsidP="00825E0B">
      <w:pPr>
        <w:rPr>
          <w:szCs w:val="22"/>
        </w:rPr>
      </w:pPr>
      <w:r>
        <w:rPr>
          <w:szCs w:val="22"/>
        </w:rPr>
        <w:t>Distributions 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may begin, without penalty, at the owner’s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w:t>
      </w:r>
      <w:r w:rsidR="00297ACB">
        <w:rPr>
          <w:szCs w:val="22"/>
        </w:rPr>
        <w:t xml:space="preserve"> </w:t>
      </w:r>
      <w:r>
        <w:rPr>
          <w:szCs w:val="22"/>
        </w:rPr>
        <w:t>Distributions prior to attaining age 59½ are generally subject to an income tax penalty equal to 10 percent of the amount of the distribution includible in income.</w:t>
      </w:r>
      <w:r w:rsidR="00297ACB">
        <w:rPr>
          <w:szCs w:val="22"/>
        </w:rPr>
        <w:t xml:space="preserve"> </w:t>
      </w:r>
      <w:r>
        <w:rPr>
          <w:szCs w:val="22"/>
        </w:rPr>
        <w:t>There are, however, certain exceptions that</w:t>
      </w:r>
      <w:r w:rsidR="00684B4C">
        <w:rPr>
          <w:szCs w:val="22"/>
        </w:rPr>
        <w:t xml:space="preserve"> may</w:t>
      </w:r>
      <w:r>
        <w:rPr>
          <w:szCs w:val="22"/>
        </w:rPr>
        <w:t xml:space="preserve"> apply.</w:t>
      </w:r>
    </w:p>
    <w:p w14:paraId="29230386" w14:textId="77777777" w:rsidR="00567D01" w:rsidRDefault="00567D01" w:rsidP="00167160">
      <w:pPr>
        <w:rPr>
          <w:szCs w:val="22"/>
        </w:rPr>
      </w:pPr>
      <w:r>
        <w:rPr>
          <w:szCs w:val="22"/>
        </w:rPr>
        <w:lastRenderedPageBreak/>
        <w:t xml:space="preserve">Distributions </w:t>
      </w:r>
      <w:r w:rsidR="004B346A">
        <w:rPr>
          <w:szCs w:val="22"/>
        </w:rPr>
        <w:t xml:space="preserve">equal to a prescribed minimum percentage </w:t>
      </w:r>
      <w:r>
        <w:rPr>
          <w:szCs w:val="22"/>
        </w:rPr>
        <w:t>must begin when the owner attains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004B346A">
        <w:rPr>
          <w:szCs w:val="22"/>
        </w:rPr>
        <w:t>.</w:t>
      </w:r>
      <w:r w:rsidR="00297ACB">
        <w:rPr>
          <w:szCs w:val="22"/>
        </w:rPr>
        <w:t xml:space="preserve"> </w:t>
      </w:r>
      <w:r w:rsidR="004B346A">
        <w:rPr>
          <w:szCs w:val="22"/>
        </w:rPr>
        <w:t>A failure to take a sufficient distribution will result in tax liability equal to 50 percent of the distribution insufficiency.</w:t>
      </w:r>
    </w:p>
    <w:p w14:paraId="3F4AF662" w14:textId="77777777" w:rsidR="004A15DC" w:rsidRDefault="004A15DC" w:rsidP="004A15DC">
      <w:pPr>
        <w:pStyle w:val="Heading2"/>
      </w:pPr>
      <w:bookmarkStart w:id="72" w:name="_Toc404357172"/>
      <w:r>
        <w:t>Review Quiz #3</w:t>
      </w:r>
      <w:bookmarkEnd w:id="72"/>
    </w:p>
    <w:p w14:paraId="39DAEB1D" w14:textId="77777777" w:rsidR="004A15DC" w:rsidRDefault="004A15DC" w:rsidP="004A15DC">
      <w:pPr>
        <w:ind w:left="360" w:hanging="360"/>
      </w:pPr>
      <w:r>
        <w:t>1.   Over the years, Ellen made before-tax and after-tax contributions to her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and now, at her age 50, she is taking a complete distribution. What is the amount of the premature distribution tax penalty for which she may be liable, assuming no exception to the penalty applies, if her total traditional IRA distribution was $500,000, her before-tax contributions were $150,000 and her after-tax contributions were $50,000?</w:t>
      </w:r>
    </w:p>
    <w:p w14:paraId="1E7A8563" w14:textId="77777777" w:rsidR="004A15DC" w:rsidRDefault="004A15DC" w:rsidP="007A5E54">
      <w:pPr>
        <w:numPr>
          <w:ilvl w:val="0"/>
          <w:numId w:val="66"/>
        </w:numPr>
        <w:spacing w:before="120"/>
      </w:pPr>
      <w:r>
        <w:t>$50,000</w:t>
      </w:r>
    </w:p>
    <w:p w14:paraId="5D5BF63D" w14:textId="77777777" w:rsidR="004A15DC" w:rsidRDefault="004A15DC" w:rsidP="007A5E54">
      <w:pPr>
        <w:numPr>
          <w:ilvl w:val="0"/>
          <w:numId w:val="66"/>
        </w:numPr>
        <w:spacing w:before="120"/>
      </w:pPr>
      <w:r>
        <w:t>$15,000</w:t>
      </w:r>
    </w:p>
    <w:p w14:paraId="2C0262BF" w14:textId="77777777" w:rsidR="004A15DC" w:rsidRDefault="004A15DC" w:rsidP="007A5E54">
      <w:pPr>
        <w:numPr>
          <w:ilvl w:val="0"/>
          <w:numId w:val="66"/>
        </w:numPr>
        <w:spacing w:before="120"/>
      </w:pPr>
      <w:r>
        <w:t>$45,000</w:t>
      </w:r>
    </w:p>
    <w:p w14:paraId="7292F208" w14:textId="77777777" w:rsidR="004A15DC" w:rsidRDefault="004A15DC" w:rsidP="007A5E54">
      <w:pPr>
        <w:numPr>
          <w:ilvl w:val="0"/>
          <w:numId w:val="66"/>
        </w:numPr>
        <w:spacing w:before="120"/>
      </w:pPr>
      <w:r>
        <w:t>$30,000</w:t>
      </w:r>
    </w:p>
    <w:p w14:paraId="0A5C030A" w14:textId="77777777" w:rsidR="004A15DC" w:rsidRDefault="004A15DC" w:rsidP="004A15DC">
      <w:pPr>
        <w:ind w:left="360" w:hanging="360"/>
      </w:pPr>
      <w:r>
        <w:t>2.   Carol made $80,000 of before-tax contributions and $20,000 of after-tax contributions to her traditional IRA</w:t>
      </w:r>
      <w:r w:rsidR="00733B1B">
        <w:t xml:space="preserve"> over the years</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She had not previously taken a distribution. </w:t>
      </w:r>
      <w:r w:rsidR="00ED028D">
        <w:t>Last year</w:t>
      </w:r>
      <w:r>
        <w:t xml:space="preserve"> she took a distribution of $10,000 from the account. At </w:t>
      </w:r>
      <w:r w:rsidR="00733B1B">
        <w:t xml:space="preserve">the end of </w:t>
      </w:r>
      <w:r w:rsidR="00ED028D">
        <w:t>last year</w:t>
      </w:r>
      <w:r>
        <w:t xml:space="preserve">, Carol’s total IRA balance was $190,000. How much of the $10,000 distribution will Carol receive tax-free as a recovery of after-tax contributions? </w:t>
      </w:r>
    </w:p>
    <w:p w14:paraId="06ED39EE" w14:textId="77777777" w:rsidR="004A15DC" w:rsidRDefault="004A15DC" w:rsidP="007A5E54">
      <w:pPr>
        <w:numPr>
          <w:ilvl w:val="0"/>
          <w:numId w:val="68"/>
        </w:numPr>
        <w:spacing w:before="120"/>
      </w:pPr>
      <w:r>
        <w:t>$0</w:t>
      </w:r>
    </w:p>
    <w:p w14:paraId="55D401C7" w14:textId="77777777" w:rsidR="004A15DC" w:rsidRDefault="004A15DC" w:rsidP="007A5E54">
      <w:pPr>
        <w:numPr>
          <w:ilvl w:val="0"/>
          <w:numId w:val="68"/>
        </w:numPr>
        <w:spacing w:before="120"/>
      </w:pPr>
      <w:r>
        <w:t>$1,000</w:t>
      </w:r>
    </w:p>
    <w:p w14:paraId="4155107A" w14:textId="77777777" w:rsidR="004A15DC" w:rsidRDefault="004A15DC" w:rsidP="007A5E54">
      <w:pPr>
        <w:numPr>
          <w:ilvl w:val="0"/>
          <w:numId w:val="68"/>
        </w:numPr>
        <w:spacing w:before="120"/>
      </w:pPr>
      <w:r>
        <w:t>$2,000</w:t>
      </w:r>
    </w:p>
    <w:p w14:paraId="7765E259" w14:textId="77777777" w:rsidR="004A15DC" w:rsidRDefault="004A15DC" w:rsidP="007A5E54">
      <w:pPr>
        <w:numPr>
          <w:ilvl w:val="0"/>
          <w:numId w:val="68"/>
        </w:numPr>
        <w:spacing w:before="120"/>
      </w:pPr>
      <w:r>
        <w:t>$10,000</w:t>
      </w:r>
    </w:p>
    <w:p w14:paraId="1AA95BDB" w14:textId="77777777" w:rsidR="004A15DC" w:rsidRDefault="004A15DC" w:rsidP="004A15DC">
      <w:pPr>
        <w:ind w:left="360" w:hanging="360"/>
      </w:pPr>
      <w:r>
        <w:t>3.   Allen elected to receive the proceeds of his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in equal periodic payments over a ten-year period. He died after receiving payments for six years, and his spouse was named as the sole beneficiary of the IRA. Which of the following options is available to the spouse beneficiary for distribution of the balance of Allen’s IRA?</w:t>
      </w:r>
    </w:p>
    <w:p w14:paraId="6E35AD35" w14:textId="77777777" w:rsidR="004A15DC" w:rsidRDefault="004A15DC" w:rsidP="007A5E54">
      <w:pPr>
        <w:numPr>
          <w:ilvl w:val="0"/>
          <w:numId w:val="70"/>
        </w:numPr>
        <w:spacing w:before="120"/>
      </w:pPr>
      <w:r>
        <w:t>The balance must be distributed at least as quickly as under the method of distribution elected by the deceased</w:t>
      </w:r>
    </w:p>
    <w:p w14:paraId="1C42C37E" w14:textId="77777777" w:rsidR="004A15DC" w:rsidRDefault="004A15DC" w:rsidP="007A5E54">
      <w:pPr>
        <w:numPr>
          <w:ilvl w:val="0"/>
          <w:numId w:val="70"/>
        </w:numPr>
        <w:spacing w:before="120"/>
      </w:pPr>
      <w:r>
        <w:t>The spouse may elect to treat the IRA as her own</w:t>
      </w:r>
    </w:p>
    <w:p w14:paraId="4852685A" w14:textId="77777777" w:rsidR="004A15DC" w:rsidRDefault="004A15DC" w:rsidP="007A5E54">
      <w:pPr>
        <w:numPr>
          <w:ilvl w:val="0"/>
          <w:numId w:val="70"/>
        </w:numPr>
        <w:spacing w:before="120"/>
      </w:pPr>
      <w:r>
        <w:t>The beneficiary may take the IRA balance in a lump-sum at the end of five years</w:t>
      </w:r>
      <w:r w:rsidR="0068683E">
        <w:t xml:space="preserve"> after the decedent’s death</w:t>
      </w:r>
    </w:p>
    <w:p w14:paraId="1C7A2BA6" w14:textId="77777777" w:rsidR="004A15DC" w:rsidRDefault="004A15DC" w:rsidP="007A5E54">
      <w:pPr>
        <w:numPr>
          <w:ilvl w:val="0"/>
          <w:numId w:val="70"/>
        </w:numPr>
        <w:spacing w:before="120"/>
      </w:pPr>
      <w:r>
        <w:t xml:space="preserve">The beneficiary may take the IRA balance over her life expectancy  </w:t>
      </w:r>
    </w:p>
    <w:p w14:paraId="15E948D0" w14:textId="77777777" w:rsidR="00532CBC" w:rsidRDefault="003955EF" w:rsidP="00825E0B">
      <w:pPr>
        <w:rPr>
          <w:szCs w:val="22"/>
        </w:rPr>
      </w:pPr>
      <w:r>
        <w:rPr>
          <w:szCs w:val="22"/>
        </w:rPr>
        <w:br w:type="page"/>
      </w:r>
    </w:p>
    <w:p w14:paraId="319B0E4F" w14:textId="77777777" w:rsidR="00532CBC" w:rsidRDefault="00532CBC" w:rsidP="00825E0B">
      <w:pPr>
        <w:rPr>
          <w:szCs w:val="22"/>
        </w:rPr>
        <w:sectPr w:rsidR="00532CBC" w:rsidSect="00297ACB">
          <w:headerReference w:type="even" r:id="rId10"/>
          <w:headerReference w:type="default" r:id="rId11"/>
          <w:footerReference w:type="first" r:id="rId12"/>
          <w:pgSz w:w="12240" w:h="15840"/>
          <w:pgMar w:top="2160" w:right="1440" w:bottom="1440" w:left="1800" w:header="720" w:footer="720" w:gutter="0"/>
          <w:pgNumType w:start="1"/>
          <w:cols w:space="720"/>
          <w:titlePg/>
          <w:docGrid w:linePitch="299"/>
        </w:sectPr>
      </w:pPr>
    </w:p>
    <w:p w14:paraId="2480AFC3" w14:textId="77777777" w:rsidR="00532CBC" w:rsidRDefault="005A4CD2" w:rsidP="007F2D1C">
      <w:pPr>
        <w:pStyle w:val="Heading1"/>
      </w:pPr>
      <w:bookmarkStart w:id="73" w:name="_Toc48025257"/>
      <w:bookmarkStart w:id="74" w:name="_Toc404357173"/>
      <w:r>
        <w:lastRenderedPageBreak/>
        <w:t>Chapter</w:t>
      </w:r>
      <w:r w:rsidR="00532CBC">
        <w:t xml:space="preserve"> </w:t>
      </w:r>
      <w:r w:rsidR="0077192A">
        <w:t>2</w:t>
      </w:r>
      <w:r w:rsidR="007F2D1C">
        <w:br/>
      </w:r>
      <w:r w:rsidR="00532CBC">
        <w:t>Roth Individual Retirement Accounts</w:t>
      </w:r>
      <w:bookmarkEnd w:id="73"/>
      <w:bookmarkEnd w:id="74"/>
    </w:p>
    <w:p w14:paraId="77E3951E" w14:textId="77777777" w:rsidR="00512570" w:rsidRDefault="00512570" w:rsidP="00066C8A">
      <w:pPr>
        <w:rPr>
          <w:b/>
          <w:szCs w:val="26"/>
        </w:rPr>
      </w:pPr>
    </w:p>
    <w:p w14:paraId="70DC9276" w14:textId="77777777" w:rsidR="007F2D1C" w:rsidRDefault="00532CBC" w:rsidP="00825E0B">
      <w:pPr>
        <w:pStyle w:val="Heading2"/>
      </w:pPr>
      <w:bookmarkStart w:id="75" w:name="_Toc48025258"/>
      <w:bookmarkStart w:id="76" w:name="_Toc404357174"/>
      <w:r w:rsidRPr="00352D2D">
        <w:t>Important Lesson Points</w:t>
      </w:r>
      <w:bookmarkEnd w:id="75"/>
      <w:bookmarkEnd w:id="76"/>
    </w:p>
    <w:p w14:paraId="58EBAEBA" w14:textId="77777777" w:rsidR="00287B21" w:rsidRPr="007F2D1C" w:rsidRDefault="00287B21" w:rsidP="007F2D1C">
      <w:pPr>
        <w:rPr>
          <w:szCs w:val="22"/>
        </w:rPr>
      </w:pPr>
      <w:r w:rsidRPr="007F2D1C">
        <w:rPr>
          <w:szCs w:val="22"/>
        </w:rPr>
        <w:t>The important points addressed in this lesson are:</w:t>
      </w:r>
    </w:p>
    <w:p w14:paraId="649B0B22" w14:textId="77777777" w:rsidR="00D803CB" w:rsidRPr="000927F0" w:rsidRDefault="00280E8E" w:rsidP="007A5E54">
      <w:pPr>
        <w:pStyle w:val="ListParagraph"/>
        <w:numPr>
          <w:ilvl w:val="0"/>
          <w:numId w:val="127"/>
        </w:numPr>
        <w:ind w:left="720"/>
      </w:pPr>
      <w:r w:rsidRPr="000927F0">
        <w:t>Unlike a traditional 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rsidRPr="000927F0">
        <w:t xml:space="preserve"> that offers current deductibility of contributions,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rsidR="0046274C" w:rsidRPr="000927F0">
        <w:t xml:space="preserve"> offer no deductibility but</w:t>
      </w:r>
      <w:r w:rsidR="00D803CB" w:rsidRPr="000927F0">
        <w:t xml:space="preserve"> provide income tax deferral</w:t>
      </w:r>
      <w:r w:rsidR="00687E51">
        <w:t>,</w:t>
      </w:r>
      <w:r w:rsidR="00D803CB" w:rsidRPr="000927F0">
        <w:t xml:space="preserve"> tax-free distribution of contributions and</w:t>
      </w:r>
      <w:r w:rsidR="00687E51" w:rsidRPr="00687E51">
        <w:t xml:space="preserve"> </w:t>
      </w:r>
      <w:r w:rsidR="00687E51" w:rsidRPr="000927F0">
        <w:t>possible</w:t>
      </w:r>
      <w:r w:rsidR="00D803CB" w:rsidRPr="000927F0">
        <w:t xml:space="preserve"> </w:t>
      </w:r>
      <w:r w:rsidR="00687E51">
        <w:t xml:space="preserve">tax-free distribution of </w:t>
      </w:r>
      <w:r w:rsidR="00D803CB" w:rsidRPr="000927F0">
        <w:t>earnings</w:t>
      </w:r>
    </w:p>
    <w:p w14:paraId="2B06F0F8" w14:textId="77777777" w:rsidR="00D803CB" w:rsidRPr="000927F0" w:rsidRDefault="0046274C" w:rsidP="007A5E54">
      <w:pPr>
        <w:pStyle w:val="ListParagraph"/>
        <w:numPr>
          <w:ilvl w:val="0"/>
          <w:numId w:val="127"/>
        </w:numPr>
        <w:ind w:left="720"/>
      </w:pPr>
      <w:r w:rsidRPr="000927F0">
        <w:t xml:space="preserve">Eligibility for a </w:t>
      </w:r>
      <w:r w:rsidR="00D803CB" w:rsidRPr="000927F0">
        <w:t>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00D803CB" w:rsidRPr="000927F0">
        <w:t xml:space="preserve"> is </w:t>
      </w:r>
      <w:r w:rsidRPr="000927F0">
        <w:t>phased out at higher income levels and is eliminated at AGIs of $1</w:t>
      </w:r>
      <w:r w:rsidR="00687E51">
        <w:t>31</w:t>
      </w:r>
      <w:r w:rsidRPr="000927F0">
        <w:t>,000 and $1</w:t>
      </w:r>
      <w:r w:rsidR="0020515F">
        <w:t>9</w:t>
      </w:r>
      <w:r w:rsidR="00687E51">
        <w:t>3</w:t>
      </w:r>
      <w:r w:rsidRPr="000927F0">
        <w:t>,000 for single tax filers and joint filers, respectively</w:t>
      </w:r>
    </w:p>
    <w:p w14:paraId="445716DC" w14:textId="77777777" w:rsidR="0046274C" w:rsidRPr="000927F0" w:rsidRDefault="00D803CB" w:rsidP="007A5E54">
      <w:pPr>
        <w:pStyle w:val="ListParagraph"/>
        <w:numPr>
          <w:ilvl w:val="0"/>
          <w:numId w:val="127"/>
        </w:numPr>
        <w:ind w:left="720"/>
      </w:pPr>
      <w:r w:rsidRPr="000927F0">
        <w:t>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owners are not required to take </w:t>
      </w:r>
      <w:r w:rsidR="00687E51">
        <w:t xml:space="preserve">lifetime </w:t>
      </w:r>
      <w:r w:rsidR="00C1721B">
        <w:t>distributions</w:t>
      </w:r>
      <w:r w:rsidRPr="000927F0">
        <w:t xml:space="preserve"> from the account at any age and may make contributions beyond age 70½</w:t>
      </w:r>
      <w:r w:rsidR="00A95039">
        <w:fldChar w:fldCharType="begin"/>
      </w:r>
      <w:r w:rsidR="00293611">
        <w:instrText xml:space="preserve"> XE "</w:instrText>
      </w:r>
      <w:r w:rsidR="00293611" w:rsidRPr="008D43E5">
        <w:rPr>
          <w:szCs w:val="22"/>
        </w:rPr>
        <w:instrText>age 70½</w:instrText>
      </w:r>
      <w:r w:rsidR="00293611">
        <w:instrText xml:space="preserve">" </w:instrText>
      </w:r>
      <w:r w:rsidR="00A95039">
        <w:fldChar w:fldCharType="end"/>
      </w:r>
    </w:p>
    <w:p w14:paraId="5C14DBAC" w14:textId="77777777" w:rsidR="0046274C" w:rsidRPr="000927F0" w:rsidRDefault="0046274C" w:rsidP="007A5E54">
      <w:pPr>
        <w:pStyle w:val="ListParagraph"/>
        <w:numPr>
          <w:ilvl w:val="0"/>
          <w:numId w:val="127"/>
        </w:numPr>
        <w:ind w:left="720"/>
      </w:pPr>
      <w:r w:rsidRPr="000927F0">
        <w:t>Qualified distributions from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rsidRPr="000927F0">
        <w:t xml:space="preserve"> are received entirely tax free</w:t>
      </w:r>
    </w:p>
    <w:p w14:paraId="273C48F3" w14:textId="77777777" w:rsidR="0046274C" w:rsidRPr="000927F0" w:rsidRDefault="0046274C" w:rsidP="007A5E54">
      <w:pPr>
        <w:pStyle w:val="ListParagraph"/>
        <w:numPr>
          <w:ilvl w:val="0"/>
          <w:numId w:val="127"/>
        </w:numPr>
        <w:ind w:left="720"/>
      </w:pPr>
      <w:r w:rsidRPr="000927F0">
        <w:t>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owners receive distributions that are nonqualified on a FIFO basis, under which all tax-free contributions</w:t>
      </w:r>
      <w:r w:rsidR="00D803CB" w:rsidRPr="000927F0">
        <w:t xml:space="preserve"> </w:t>
      </w:r>
      <w:r w:rsidRPr="000927F0">
        <w:t xml:space="preserve">are </w:t>
      </w:r>
      <w:r w:rsidR="00687E51">
        <w:t>distributed</w:t>
      </w:r>
      <w:r w:rsidRPr="000927F0">
        <w:t xml:space="preserve"> before any earnings are distributed</w:t>
      </w:r>
    </w:p>
    <w:p w14:paraId="4EC76898" w14:textId="77777777" w:rsidR="00287B21" w:rsidRPr="000927F0" w:rsidRDefault="008C1E42" w:rsidP="007A5E54">
      <w:pPr>
        <w:pStyle w:val="ListParagraph"/>
        <w:numPr>
          <w:ilvl w:val="0"/>
          <w:numId w:val="127"/>
        </w:numPr>
        <w:ind w:left="720"/>
      </w:pPr>
      <w:r w:rsidRPr="000927F0">
        <w:t>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distributions </w:t>
      </w:r>
      <w:r w:rsidR="000A207F">
        <w:t xml:space="preserve">of gain </w:t>
      </w:r>
      <w:r w:rsidRPr="000927F0">
        <w:t>made prior to age 59½</w:t>
      </w:r>
      <w:r w:rsidR="00A95039">
        <w:fldChar w:fldCharType="begin"/>
      </w:r>
      <w:r w:rsidR="00500F1D">
        <w:instrText xml:space="preserve"> XE "</w:instrText>
      </w:r>
      <w:r w:rsidR="00500F1D" w:rsidRPr="008D43E5">
        <w:rPr>
          <w:szCs w:val="22"/>
        </w:rPr>
        <w:instrText>age 59½</w:instrText>
      </w:r>
      <w:r w:rsidR="00500F1D">
        <w:instrText xml:space="preserve">" </w:instrText>
      </w:r>
      <w:r w:rsidR="00A95039">
        <w:fldChar w:fldCharType="end"/>
      </w:r>
      <w:r w:rsidRPr="000927F0">
        <w:t xml:space="preserve"> are subject to a premature withdrawal tax penalty unless specific exceptions apply</w:t>
      </w:r>
    </w:p>
    <w:p w14:paraId="530472A6" w14:textId="77777777" w:rsidR="008C1E42" w:rsidRPr="000927F0" w:rsidRDefault="000A207F" w:rsidP="007A5E54">
      <w:pPr>
        <w:pStyle w:val="ListParagraph"/>
        <w:numPr>
          <w:ilvl w:val="0"/>
          <w:numId w:val="127"/>
        </w:numPr>
        <w:ind w:left="720"/>
      </w:pPr>
      <w:r>
        <w:t>Beginning in 2010, i</w:t>
      </w:r>
      <w:r w:rsidR="008C1E42" w:rsidRPr="000927F0">
        <w:t xml:space="preserve">ndividuals with </w:t>
      </w:r>
      <w:r>
        <w:t xml:space="preserve">any </w:t>
      </w:r>
      <w:r w:rsidR="008C1E42" w:rsidRPr="000927F0">
        <w:t xml:space="preserve">AGI may convert a traditional </w:t>
      </w:r>
      <w:r>
        <w:t>IRA</w:t>
      </w:r>
      <w:r w:rsidR="00A95039">
        <w:fldChar w:fldCharType="begin"/>
      </w:r>
      <w:r w:rsidR="00293611">
        <w:instrText xml:space="preserve"> XE "</w:instrText>
      </w:r>
      <w:r w:rsidR="00293611" w:rsidRPr="008D43E5">
        <w:rPr>
          <w:szCs w:val="22"/>
        </w:rPr>
        <w:instrText>traditional IRA</w:instrText>
      </w:r>
      <w:r w:rsidR="00293611">
        <w:instrText xml:space="preserve">" </w:instrText>
      </w:r>
      <w:r w:rsidR="00A95039">
        <w:fldChar w:fldCharType="end"/>
      </w:r>
      <w:r>
        <w:t xml:space="preserve"> </w:t>
      </w:r>
      <w:r w:rsidR="008C1E42" w:rsidRPr="000927F0">
        <w:t>to a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p>
    <w:p w14:paraId="6CAF2591" w14:textId="77777777" w:rsidR="008C1E42" w:rsidRDefault="008C1E42" w:rsidP="007A5E54">
      <w:pPr>
        <w:pStyle w:val="ListParagraph"/>
        <w:numPr>
          <w:ilvl w:val="0"/>
          <w:numId w:val="127"/>
        </w:numPr>
        <w:ind w:left="720"/>
      </w:pPr>
      <w:r w:rsidRPr="000927F0">
        <w:t>Traditional IRA funds converted to a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are taxable at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Pr="000927F0">
        <w:t xml:space="preserve"> rates</w:t>
      </w:r>
      <w:r w:rsidR="000A207F">
        <w:t xml:space="preserve"> generally</w:t>
      </w:r>
      <w:r w:rsidRPr="000927F0">
        <w:t xml:space="preserve"> in the year in which conversion</w:t>
      </w:r>
      <w:r w:rsidR="00A95039">
        <w:fldChar w:fldCharType="begin"/>
      </w:r>
      <w:r w:rsidR="00293611">
        <w:instrText xml:space="preserve"> XE "</w:instrText>
      </w:r>
      <w:r w:rsidR="00293611" w:rsidRPr="008D43E5">
        <w:rPr>
          <w:szCs w:val="22"/>
        </w:rPr>
        <w:instrText>Traditional to Roth IRA conversion</w:instrText>
      </w:r>
      <w:r w:rsidR="00293611">
        <w:instrText xml:space="preserve">" </w:instrText>
      </w:r>
      <w:r w:rsidR="00A95039">
        <w:fldChar w:fldCharType="end"/>
      </w:r>
      <w:r w:rsidRPr="000927F0">
        <w:t xml:space="preserve"> takes place but are not subject to premature </w:t>
      </w:r>
      <w:r w:rsidR="0020515F">
        <w:t xml:space="preserve">distribution tax </w:t>
      </w:r>
      <w:r w:rsidRPr="000927F0">
        <w:t>penalties</w:t>
      </w:r>
      <w:r w:rsidR="00A95039">
        <w:fldChar w:fldCharType="begin"/>
      </w:r>
      <w:r w:rsidR="00293611">
        <w:instrText xml:space="preserve"> XE "</w:instrText>
      </w:r>
      <w:r w:rsidR="00293611" w:rsidRPr="008D43E5">
        <w:rPr>
          <w:szCs w:val="22"/>
        </w:rPr>
        <w:instrText>premature withdrawal penalties</w:instrText>
      </w:r>
      <w:r w:rsidR="00293611">
        <w:instrText xml:space="preserve">" </w:instrText>
      </w:r>
      <w:r w:rsidR="00A95039">
        <w:fldChar w:fldCharType="end"/>
      </w:r>
    </w:p>
    <w:p w14:paraId="16410EA9" w14:textId="77777777" w:rsidR="004A15DC" w:rsidRDefault="004A15DC" w:rsidP="004A15DC">
      <w:pPr>
        <w:pStyle w:val="Heading2"/>
        <w:keepLines w:val="0"/>
      </w:pPr>
      <w:bookmarkStart w:id="77" w:name="_Toc404357175"/>
      <w:r>
        <w:t>Chapter Learning Objectives</w:t>
      </w:r>
      <w:bookmarkEnd w:id="77"/>
    </w:p>
    <w:p w14:paraId="58DC1AEC" w14:textId="77777777" w:rsidR="004A15DC" w:rsidRDefault="004A15DC" w:rsidP="004A15DC">
      <w:r>
        <w:t>In this chapter we will look at the rules governing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t xml:space="preserve">. When </w:t>
      </w:r>
      <w:r w:rsidRPr="00702457">
        <w:t xml:space="preserve">you have completed this </w:t>
      </w:r>
      <w:r>
        <w:t>chapter</w:t>
      </w:r>
      <w:r w:rsidRPr="00702457">
        <w:t xml:space="preserve"> you should be able to</w:t>
      </w:r>
      <w:r>
        <w:t>:</w:t>
      </w:r>
    </w:p>
    <w:p w14:paraId="0F01AC0D" w14:textId="77777777" w:rsidR="004A15DC" w:rsidRDefault="0072197B" w:rsidP="007A5E54">
      <w:pPr>
        <w:pStyle w:val="ListParagraph"/>
        <w:numPr>
          <w:ilvl w:val="0"/>
          <w:numId w:val="128"/>
        </w:numPr>
        <w:ind w:left="720"/>
      </w:pPr>
      <w:r>
        <w:t>Discuss the limitations imposed on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t xml:space="preserve"> eligibility and contributions;</w:t>
      </w:r>
    </w:p>
    <w:p w14:paraId="4E3219CE" w14:textId="77777777" w:rsidR="0072197B" w:rsidRDefault="0072197B" w:rsidP="007A5E54">
      <w:pPr>
        <w:pStyle w:val="ListParagraph"/>
        <w:numPr>
          <w:ilvl w:val="0"/>
          <w:numId w:val="128"/>
        </w:numPr>
        <w:ind w:left="720"/>
      </w:pPr>
      <w:r>
        <w:t>Explain the tax treatment of contributions to and distributions from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t>;</w:t>
      </w:r>
    </w:p>
    <w:p w14:paraId="7314DEAE" w14:textId="77777777" w:rsidR="0072197B" w:rsidRDefault="0072197B" w:rsidP="007A5E54">
      <w:pPr>
        <w:pStyle w:val="ListParagraph"/>
        <w:numPr>
          <w:ilvl w:val="0"/>
          <w:numId w:val="128"/>
        </w:numPr>
        <w:ind w:left="720"/>
      </w:pPr>
      <w:r>
        <w:t>Describe the conditions that must be met for a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t xml:space="preserve"> distribution to be considered a “qualified distribution</w:t>
      </w:r>
      <w:r w:rsidR="00A95039">
        <w:fldChar w:fldCharType="begin"/>
      </w:r>
      <w:r w:rsidR="00293611">
        <w:instrText xml:space="preserve"> XE "</w:instrText>
      </w:r>
      <w:r w:rsidR="00293611" w:rsidRPr="008D43E5">
        <w:rPr>
          <w:szCs w:val="22"/>
        </w:rPr>
        <w:instrText>qualified distribution</w:instrText>
      </w:r>
      <w:r w:rsidR="00293611">
        <w:instrText xml:space="preserve">" </w:instrText>
      </w:r>
      <w:r w:rsidR="00A95039">
        <w:fldChar w:fldCharType="end"/>
      </w:r>
      <w:r>
        <w:t>”;</w:t>
      </w:r>
    </w:p>
    <w:p w14:paraId="02AFBA2B" w14:textId="77777777" w:rsidR="0072197B" w:rsidRDefault="00DC3545" w:rsidP="007A5E54">
      <w:pPr>
        <w:pStyle w:val="ListParagraph"/>
        <w:numPr>
          <w:ilvl w:val="0"/>
          <w:numId w:val="128"/>
        </w:numPr>
        <w:ind w:left="720"/>
      </w:pPr>
      <w:r>
        <w:t>Explain the distribution rules applicable to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t xml:space="preserve"> distributions upon the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of the owner; and</w:t>
      </w:r>
    </w:p>
    <w:p w14:paraId="2A85A7F7" w14:textId="77777777" w:rsidR="00DC3545" w:rsidRPr="000927F0" w:rsidRDefault="00DC3545" w:rsidP="007A5E54">
      <w:pPr>
        <w:pStyle w:val="ListParagraph"/>
        <w:numPr>
          <w:ilvl w:val="0"/>
          <w:numId w:val="128"/>
        </w:numPr>
        <w:ind w:left="720"/>
      </w:pPr>
      <w:r>
        <w:t>Discuss the rules applicable to traditional to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t xml:space="preserve"> conversions occurring on or after January 1, 2010.</w:t>
      </w:r>
    </w:p>
    <w:p w14:paraId="648965E1" w14:textId="77777777" w:rsidR="00287B21" w:rsidRPr="00532CBC" w:rsidRDefault="00287B21" w:rsidP="009266CF">
      <w:pPr>
        <w:pStyle w:val="Heading2"/>
      </w:pPr>
      <w:bookmarkStart w:id="78" w:name="_Toc48025259"/>
      <w:bookmarkStart w:id="79" w:name="_Toc404357176"/>
      <w:r w:rsidRPr="00532CBC">
        <w:lastRenderedPageBreak/>
        <w:t>Definition &amp; Eligibility</w:t>
      </w:r>
      <w:bookmarkEnd w:id="78"/>
      <w:bookmarkEnd w:id="79"/>
    </w:p>
    <w:p w14:paraId="06164D98" w14:textId="77777777" w:rsidR="00434CE0" w:rsidRPr="000B485C" w:rsidRDefault="00800A6A" w:rsidP="00825E0B">
      <w:pPr>
        <w:rPr>
          <w:szCs w:val="22"/>
        </w:rPr>
      </w:pPr>
      <w:r>
        <w:rPr>
          <w:szCs w:val="22"/>
        </w:rPr>
        <w:t>When we looked at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we saw that much of the tax benefit is enjoyed by the owner at the time that the deductible contributions are made.</w:t>
      </w:r>
      <w:r w:rsidR="00297ACB">
        <w:rPr>
          <w:szCs w:val="22"/>
        </w:rPr>
        <w:t xml:space="preserve"> </w:t>
      </w:r>
      <w:r>
        <w:rPr>
          <w:szCs w:val="22"/>
        </w:rPr>
        <w:t>We are going to turn our attention now to a newer form of IRA whose principal tax benefits are enjoyed at the time funds are distributed to the owner rather than contributed by him or her.</w:t>
      </w:r>
    </w:p>
    <w:p w14:paraId="20AB866E" w14:textId="77777777" w:rsidR="00434CE0" w:rsidRPr="000B485C" w:rsidRDefault="00800A6A" w:rsidP="00825E0B">
      <w:pPr>
        <w:rPr>
          <w:szCs w:val="22"/>
        </w:rPr>
      </w:pPr>
      <w:r>
        <w:rPr>
          <w:szCs w:val="22"/>
        </w:rPr>
        <w:t>T</w:t>
      </w:r>
      <w:r w:rsidR="00434CE0" w:rsidRPr="000B485C">
        <w:rPr>
          <w:szCs w:val="22"/>
        </w:rPr>
        <w:t>he Taxpayer Relief Act of 1997 created additional classes of IRAs.</w:t>
      </w:r>
      <w:r w:rsidR="00297ACB">
        <w:rPr>
          <w:szCs w:val="22"/>
        </w:rPr>
        <w:t xml:space="preserve"> </w:t>
      </w:r>
      <w:r w:rsidR="00434CE0" w:rsidRPr="000B485C">
        <w:rPr>
          <w:szCs w:val="22"/>
        </w:rPr>
        <w:t>The generally more important of these recent additions is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C657D4">
        <w:rPr>
          <w:szCs w:val="22"/>
        </w:rPr>
        <w:t>Although there are significant differences between the tax benefits of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C657D4">
        <w:rPr>
          <w:szCs w:val="22"/>
        </w:rPr>
        <w:t xml:space="preserve"> and traditional IRAs</w:t>
      </w:r>
      <w:r>
        <w:rPr>
          <w:szCs w:val="22"/>
        </w:rPr>
        <w:t xml:space="preserve">, </w:t>
      </w:r>
      <w:r w:rsidR="00C657D4">
        <w:rPr>
          <w:szCs w:val="22"/>
        </w:rPr>
        <w:t>the Roth IRA</w:t>
      </w:r>
      <w:r w:rsidR="00FD049D">
        <w:rPr>
          <w:szCs w:val="22"/>
        </w:rPr>
        <w:t>’</w:t>
      </w:r>
      <w:r w:rsidR="00C657D4">
        <w:rPr>
          <w:szCs w:val="22"/>
        </w:rPr>
        <w:t>s</w:t>
      </w:r>
      <w:r w:rsidR="00434CE0" w:rsidRPr="000B485C">
        <w:rPr>
          <w:szCs w:val="22"/>
        </w:rPr>
        <w:t xml:space="preserve"> fundamental provisions and requirements are</w:t>
      </w:r>
      <w:r w:rsidR="00C657D4">
        <w:rPr>
          <w:szCs w:val="22"/>
        </w:rPr>
        <w:t xml:space="preserve"> identical to those governing</w:t>
      </w:r>
      <w:r w:rsidR="00434CE0" w:rsidRPr="000B485C">
        <w:rPr>
          <w:szCs w:val="22"/>
        </w:rPr>
        <w:t xml:space="preserve"> traditional IRA</w:t>
      </w:r>
      <w:r w:rsidR="00C657D4">
        <w:rPr>
          <w:szCs w:val="22"/>
        </w:rPr>
        <w:t>s</w:t>
      </w:r>
      <w:r w:rsidR="00434CE0" w:rsidRPr="000B485C">
        <w:rPr>
          <w:szCs w:val="22"/>
        </w:rPr>
        <w:t>.</w:t>
      </w:r>
    </w:p>
    <w:p w14:paraId="6F50E500" w14:textId="77777777" w:rsidR="00434CE0" w:rsidRPr="000B485C" w:rsidRDefault="00C657D4" w:rsidP="00825E0B">
      <w:pPr>
        <w:rPr>
          <w:szCs w:val="22"/>
        </w:rPr>
      </w:pPr>
      <w:r>
        <w:rPr>
          <w:szCs w:val="22"/>
        </w:rPr>
        <w:t>Let’s begin our discussion of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xml:space="preserve"> with a definition.</w:t>
      </w:r>
      <w:r w:rsidR="00297ACB">
        <w:rPr>
          <w:szCs w:val="22"/>
        </w:rPr>
        <w:t xml:space="preserve"> </w:t>
      </w:r>
      <w:r w:rsidR="00434CE0" w:rsidRPr="000B485C">
        <w:rPr>
          <w:szCs w:val="22"/>
        </w:rPr>
        <w:t>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is a personal retirement savings plan</w:t>
      </w:r>
      <w:r>
        <w:rPr>
          <w:szCs w:val="22"/>
        </w:rPr>
        <w:t>,</w:t>
      </w:r>
      <w:r w:rsidR="00434CE0" w:rsidRPr="000B485C">
        <w:rPr>
          <w:szCs w:val="22"/>
        </w:rPr>
        <w:t xml:space="preserve"> funded by an annuity or trust/custodial account</w:t>
      </w:r>
      <w:r>
        <w:rPr>
          <w:szCs w:val="22"/>
        </w:rPr>
        <w:t>,</w:t>
      </w:r>
      <w:r w:rsidR="00434CE0" w:rsidRPr="000B485C">
        <w:rPr>
          <w:szCs w:val="22"/>
        </w:rPr>
        <w:t xml:space="preserve"> which provides income tax deferral and may provide tax-free distribution of earnings.</w:t>
      </w:r>
      <w:r w:rsidR="00297ACB">
        <w:rPr>
          <w:szCs w:val="22"/>
        </w:rPr>
        <w:t xml:space="preserve"> </w:t>
      </w:r>
      <w:r w:rsidR="00B736C2">
        <w:t xml:space="preserve">It does not provide for contribution deductibility. </w:t>
      </w:r>
      <w:r w:rsidR="00434CE0" w:rsidRPr="000B485C">
        <w:rPr>
          <w:szCs w:val="22"/>
        </w:rPr>
        <w:t xml:space="preserve">Eligibility for a Roth IRA is limited to individuals, regardless of age or qualified plan participation, </w:t>
      </w:r>
      <w:r w:rsidR="00C1721B">
        <w:rPr>
          <w:szCs w:val="22"/>
        </w:rPr>
        <w:t>whose income</w:t>
      </w:r>
      <w:r w:rsidR="00434CE0" w:rsidRPr="000B485C">
        <w:rPr>
          <w:szCs w:val="22"/>
        </w:rPr>
        <w:t xml:space="preserve"> do</w:t>
      </w:r>
      <w:r w:rsidR="00C1721B">
        <w:rPr>
          <w:szCs w:val="22"/>
        </w:rPr>
        <w:t>es not</w:t>
      </w:r>
      <w:r w:rsidR="00434CE0" w:rsidRPr="000B485C">
        <w:rPr>
          <w:szCs w:val="22"/>
        </w:rPr>
        <w:t xml:space="preserve"> exceed certain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434CE0" w:rsidRPr="000B485C">
        <w:rPr>
          <w:szCs w:val="22"/>
        </w:rPr>
        <w:t xml:space="preserve"> limits.</w:t>
      </w:r>
    </w:p>
    <w:p w14:paraId="0D6E364D" w14:textId="77777777" w:rsidR="00434CE0" w:rsidRPr="000B485C" w:rsidRDefault="00C657D4" w:rsidP="00825E0B">
      <w:pPr>
        <w:rPr>
          <w:szCs w:val="22"/>
        </w:rPr>
      </w:pPr>
      <w:r>
        <w:rPr>
          <w:szCs w:val="22"/>
        </w:rPr>
        <w:t xml:space="preserve">There are </w:t>
      </w:r>
      <w:r w:rsidR="0020515F">
        <w:rPr>
          <w:szCs w:val="22"/>
        </w:rPr>
        <w:t>four</w:t>
      </w:r>
      <w:r>
        <w:rPr>
          <w:szCs w:val="22"/>
        </w:rPr>
        <w:t xml:space="preserve"> significant</w:t>
      </w:r>
      <w:r w:rsidR="00434CE0" w:rsidRPr="000B485C">
        <w:rPr>
          <w:szCs w:val="22"/>
        </w:rPr>
        <w:t xml:space="preserve"> differences between traditional </w:t>
      </w:r>
      <w:r>
        <w:rPr>
          <w:szCs w:val="22"/>
        </w:rPr>
        <w:t>IRAs and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xml:space="preserve"> that we need to be aware of:</w:t>
      </w:r>
    </w:p>
    <w:p w14:paraId="5825E0D8" w14:textId="77777777" w:rsidR="00434CE0" w:rsidRPr="000927F0" w:rsidRDefault="00434CE0" w:rsidP="007A5E54">
      <w:pPr>
        <w:pStyle w:val="ListParagraph"/>
        <w:numPr>
          <w:ilvl w:val="0"/>
          <w:numId w:val="129"/>
        </w:numPr>
        <w:ind w:left="720"/>
      </w:pPr>
      <w:r w:rsidRPr="000927F0">
        <w:t>No deductibility of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contributions</w:t>
      </w:r>
      <w:r w:rsidR="008D43E5">
        <w:t>;</w:t>
      </w:r>
    </w:p>
    <w:p w14:paraId="402F9323" w14:textId="77777777" w:rsidR="00434CE0" w:rsidRPr="000927F0" w:rsidRDefault="00434CE0" w:rsidP="007A5E54">
      <w:pPr>
        <w:pStyle w:val="ListParagraph"/>
        <w:numPr>
          <w:ilvl w:val="0"/>
          <w:numId w:val="129"/>
        </w:numPr>
        <w:ind w:left="720"/>
      </w:pPr>
      <w:r w:rsidRPr="000927F0">
        <w:t>Possible tax-free earnings distribution</w:t>
      </w:r>
      <w:r w:rsidR="00C657D4" w:rsidRPr="000927F0">
        <w:t xml:space="preserve"> of 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00C657D4" w:rsidRPr="000927F0">
        <w:t xml:space="preserve"> accumulations</w:t>
      </w:r>
      <w:r w:rsidR="008D43E5">
        <w:t xml:space="preserve">; </w:t>
      </w:r>
    </w:p>
    <w:p w14:paraId="7C2C894B" w14:textId="77777777" w:rsidR="0020515F" w:rsidRDefault="00C657D4" w:rsidP="007A5E54">
      <w:pPr>
        <w:pStyle w:val="ListParagraph"/>
        <w:numPr>
          <w:ilvl w:val="0"/>
          <w:numId w:val="129"/>
        </w:numPr>
        <w:ind w:left="720"/>
      </w:pPr>
      <w:r w:rsidRPr="000927F0">
        <w:t>Roth IRA</w:t>
      </w:r>
      <w:r w:rsidR="00A95039">
        <w:fldChar w:fldCharType="begin"/>
      </w:r>
      <w:r w:rsidR="00293611">
        <w:instrText xml:space="preserve"> XE "</w:instrText>
      </w:r>
      <w:r w:rsidR="00293611" w:rsidRPr="008D43E5">
        <w:rPr>
          <w:szCs w:val="22"/>
        </w:rPr>
        <w:instrText>Roth IRA</w:instrText>
      </w:r>
      <w:r w:rsidR="00293611">
        <w:instrText xml:space="preserve">" </w:instrText>
      </w:r>
      <w:r w:rsidR="00A95039">
        <w:fldChar w:fldCharType="end"/>
      </w:r>
      <w:r w:rsidRPr="000927F0">
        <w:t xml:space="preserve"> e</w:t>
      </w:r>
      <w:r w:rsidR="00434CE0" w:rsidRPr="000927F0">
        <w:t xml:space="preserve">ligibility </w:t>
      </w:r>
      <w:r w:rsidRPr="000927F0">
        <w:t xml:space="preserve">is </w:t>
      </w:r>
      <w:r w:rsidR="00434CE0" w:rsidRPr="000927F0">
        <w:t>limited</w:t>
      </w:r>
      <w:r w:rsidRPr="000927F0">
        <w:t>,</w:t>
      </w:r>
      <w:r w:rsidR="00434CE0" w:rsidRPr="000927F0">
        <w:t xml:space="preserve"> based on </w:t>
      </w:r>
      <w:r w:rsidRPr="000927F0">
        <w:t>the individual’s adjusted gross income</w:t>
      </w:r>
      <w:r w:rsidR="0020515F">
        <w:t>; and</w:t>
      </w:r>
    </w:p>
    <w:p w14:paraId="539BEB72" w14:textId="77777777" w:rsidR="00434CE0" w:rsidRPr="000927F0" w:rsidRDefault="0020515F" w:rsidP="007A5E54">
      <w:pPr>
        <w:pStyle w:val="ListParagraph"/>
        <w:numPr>
          <w:ilvl w:val="0"/>
          <w:numId w:val="129"/>
        </w:numPr>
        <w:ind w:left="720"/>
      </w:pPr>
      <w:r w:rsidRPr="00B43D2D">
        <w:t>Roth IRAs do not impose required distributions during the owner’s life.</w:t>
      </w:r>
      <w:r w:rsidR="00A95039">
        <w:fldChar w:fldCharType="begin"/>
      </w:r>
      <w:r w:rsidR="00293611">
        <w:instrText xml:space="preserve"> XE "</w:instrText>
      </w:r>
      <w:r w:rsidR="00293611" w:rsidRPr="008D43E5">
        <w:rPr>
          <w:szCs w:val="22"/>
        </w:rPr>
        <w:instrText>adjusted gross income</w:instrText>
      </w:r>
      <w:r w:rsidR="00293611">
        <w:instrText xml:space="preserve">" </w:instrText>
      </w:r>
      <w:r w:rsidR="00A95039">
        <w:fldChar w:fldCharType="end"/>
      </w:r>
    </w:p>
    <w:p w14:paraId="1FA44F28" w14:textId="77777777" w:rsidR="00434CE0" w:rsidRPr="000B485C" w:rsidRDefault="000F6DA9" w:rsidP="00825E0B">
      <w:pPr>
        <w:rPr>
          <w:szCs w:val="22"/>
        </w:rPr>
      </w:pPr>
      <w:r>
        <w:rPr>
          <w:szCs w:val="22"/>
        </w:rPr>
        <w:t xml:space="preserve">In simple terms, </w:t>
      </w:r>
      <w:r w:rsidR="00434CE0" w:rsidRPr="000B485C">
        <w:rPr>
          <w:szCs w:val="22"/>
        </w:rPr>
        <w:t>Roth IRA</w:t>
      </w:r>
      <w:r>
        <w:rPr>
          <w:szCs w:val="22"/>
        </w:rPr>
        <w:t>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xml:space="preserve"> permit the</w:t>
      </w:r>
      <w:r w:rsidR="00434CE0" w:rsidRPr="000B485C">
        <w:rPr>
          <w:szCs w:val="22"/>
        </w:rPr>
        <w:t xml:space="preserve"> deferral of </w:t>
      </w:r>
      <w:r w:rsidR="000C74D9">
        <w:rPr>
          <w:szCs w:val="22"/>
        </w:rPr>
        <w:t xml:space="preserve">taxation on </w:t>
      </w:r>
      <w:r w:rsidR="00434CE0" w:rsidRPr="000B485C">
        <w:rPr>
          <w:szCs w:val="22"/>
        </w:rPr>
        <w:t xml:space="preserve">earnings and </w:t>
      </w:r>
      <w:r>
        <w:rPr>
          <w:szCs w:val="22"/>
        </w:rPr>
        <w:t xml:space="preserve">offer </w:t>
      </w:r>
      <w:r w:rsidR="00434CE0" w:rsidRPr="000B485C">
        <w:rPr>
          <w:szCs w:val="22"/>
        </w:rPr>
        <w:t>possible tax-free distributions</w:t>
      </w:r>
      <w:r>
        <w:rPr>
          <w:szCs w:val="22"/>
        </w:rPr>
        <w:t xml:space="preserve"> instead of deductible contributions</w:t>
      </w:r>
      <w:r w:rsidR="00434CE0" w:rsidRPr="000B485C">
        <w:rPr>
          <w:szCs w:val="22"/>
        </w:rPr>
        <w:t>.</w:t>
      </w:r>
      <w:r w:rsidR="00297ACB">
        <w:rPr>
          <w:szCs w:val="22"/>
        </w:rPr>
        <w:t xml:space="preserve"> </w:t>
      </w:r>
      <w:r>
        <w:rPr>
          <w:szCs w:val="22"/>
        </w:rPr>
        <w:t>In addition</w:t>
      </w:r>
      <w:r w:rsidR="00434CE0" w:rsidRPr="000B485C">
        <w:rPr>
          <w:szCs w:val="22"/>
        </w:rPr>
        <w:t xml:space="preserve">, </w:t>
      </w:r>
      <w:r>
        <w:rPr>
          <w:szCs w:val="22"/>
        </w:rPr>
        <w:t>although virtually everyone may establish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whose contributions </w:t>
      </w:r>
      <w:r>
        <w:rPr>
          <w:i/>
          <w:szCs w:val="22"/>
        </w:rPr>
        <w:t>may or may not be deductible</w:t>
      </w:r>
      <w:r>
        <w:rPr>
          <w:szCs w:val="22"/>
        </w:rPr>
        <w:t xml:space="preserve">, </w:t>
      </w:r>
      <w:r w:rsidR="00434CE0" w:rsidRPr="000B485C">
        <w:rPr>
          <w:szCs w:val="22"/>
        </w:rPr>
        <w:t>not everyone may be eligible for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w:t>
      </w:r>
      <w:r w:rsidR="005B0C83">
        <w:rPr>
          <w:szCs w:val="22"/>
        </w:rPr>
        <w:t xml:space="preserve"> And finally, amounts contributed to and accumulating in a Roth </w:t>
      </w:r>
      <w:r w:rsidR="000A207F">
        <w:rPr>
          <w:szCs w:val="22"/>
        </w:rPr>
        <w:t xml:space="preserve">IRA </w:t>
      </w:r>
      <w:r w:rsidR="005B0C83">
        <w:rPr>
          <w:szCs w:val="22"/>
        </w:rPr>
        <w:t xml:space="preserve">can remain in the account as long as the owner wishes; Roth IRAs do not impose required </w:t>
      </w:r>
      <w:r w:rsidR="000A207F">
        <w:rPr>
          <w:szCs w:val="22"/>
        </w:rPr>
        <w:t xml:space="preserve">minimum </w:t>
      </w:r>
      <w:r w:rsidR="005B0C83">
        <w:rPr>
          <w:szCs w:val="22"/>
        </w:rPr>
        <w:t>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sidR="005B0C83">
        <w:rPr>
          <w:szCs w:val="22"/>
        </w:rPr>
        <w:t xml:space="preserve"> during an owner’s life.</w:t>
      </w:r>
    </w:p>
    <w:p w14:paraId="7D7D63BB" w14:textId="77777777" w:rsidR="00434CE0" w:rsidRPr="000B485C" w:rsidRDefault="000F6DA9" w:rsidP="00825E0B">
      <w:pPr>
        <w:rPr>
          <w:szCs w:val="22"/>
        </w:rPr>
      </w:pPr>
      <w:r>
        <w:rPr>
          <w:szCs w:val="22"/>
        </w:rPr>
        <w:t>We noted earlier that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tax deductions are reduced or eliminated for active participants in employer-sponsored retirement plans. However, since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xml:space="preserve"> don’t offer tax deduction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Pr>
          <w:szCs w:val="22"/>
        </w:rPr>
        <w:t xml:space="preserve"> of contributions</w:t>
      </w:r>
      <w:r w:rsidR="00434CE0" w:rsidRPr="000B485C">
        <w:rPr>
          <w:szCs w:val="22"/>
        </w:rPr>
        <w:t xml:space="preserve">, </w:t>
      </w:r>
      <w:r>
        <w:rPr>
          <w:szCs w:val="22"/>
        </w:rPr>
        <w:t>they</w:t>
      </w:r>
      <w:r w:rsidR="00434CE0" w:rsidRPr="000B485C">
        <w:rPr>
          <w:szCs w:val="22"/>
        </w:rPr>
        <w:t xml:space="preserve"> </w:t>
      </w:r>
      <w:r>
        <w:rPr>
          <w:szCs w:val="22"/>
        </w:rPr>
        <w:t>are</w:t>
      </w:r>
      <w:r w:rsidR="00434CE0" w:rsidRPr="000B485C">
        <w:rPr>
          <w:szCs w:val="22"/>
        </w:rPr>
        <w:t xml:space="preserve"> not affected by </w:t>
      </w:r>
      <w:r w:rsidR="00AE4279">
        <w:rPr>
          <w:szCs w:val="22"/>
        </w:rPr>
        <w:t xml:space="preserve">an individual’s </w:t>
      </w:r>
      <w:r w:rsidR="00434CE0" w:rsidRPr="000B485C">
        <w:rPr>
          <w:szCs w:val="22"/>
        </w:rPr>
        <w:t>active pa</w:t>
      </w:r>
      <w:r>
        <w:rPr>
          <w:szCs w:val="22"/>
        </w:rPr>
        <w:t>rticipation in a qualified plan.</w:t>
      </w:r>
      <w:r w:rsidR="00297ACB">
        <w:rPr>
          <w:szCs w:val="22"/>
        </w:rPr>
        <w:t xml:space="preserve"> </w:t>
      </w:r>
      <w:r>
        <w:rPr>
          <w:szCs w:val="22"/>
        </w:rPr>
        <w:t>The important limiting factor with respect to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eligibility is the individual’s earnings.</w:t>
      </w:r>
      <w:r w:rsidR="00297ACB">
        <w:rPr>
          <w:szCs w:val="22"/>
        </w:rPr>
        <w:t xml:space="preserve"> </w:t>
      </w:r>
      <w:r w:rsidR="00434CE0" w:rsidRPr="000B485C">
        <w:rPr>
          <w:szCs w:val="22"/>
        </w:rPr>
        <w:t>Specifically, the maximum contribution permitted to a Roth IRA or spousal Roth IRA is reduced or eliminated for certain high-income individuals.</w:t>
      </w:r>
    </w:p>
    <w:p w14:paraId="4E67F199" w14:textId="77777777" w:rsidR="00B231C5" w:rsidRPr="00532CBC" w:rsidRDefault="00B127A3" w:rsidP="009266CF">
      <w:pPr>
        <w:pStyle w:val="Heading2"/>
      </w:pPr>
      <w:bookmarkStart w:id="80" w:name="_Toc48025260"/>
      <w:bookmarkStart w:id="81" w:name="_Toc404357177"/>
      <w:r w:rsidRPr="00532CBC">
        <w:t>Limits on Contributions</w:t>
      </w:r>
      <w:bookmarkEnd w:id="80"/>
      <w:bookmarkEnd w:id="81"/>
    </w:p>
    <w:p w14:paraId="04AC4D62" w14:textId="77777777" w:rsidR="00434CE0" w:rsidRDefault="000A207F" w:rsidP="000927F0">
      <w:pPr>
        <w:spacing w:after="0"/>
        <w:rPr>
          <w:szCs w:val="22"/>
        </w:rPr>
      </w:pPr>
      <w:r>
        <w:rPr>
          <w:szCs w:val="22"/>
        </w:rPr>
        <w:t>The maximum amount an individual can contribute 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is the same as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that is $5,</w:t>
      </w:r>
      <w:r w:rsidR="00B736C2">
        <w:rPr>
          <w:szCs w:val="22"/>
        </w:rPr>
        <w:t>5</w:t>
      </w:r>
      <w:r>
        <w:rPr>
          <w:szCs w:val="22"/>
        </w:rPr>
        <w:t>00 (in 201</w:t>
      </w:r>
      <w:r w:rsidR="00687E51">
        <w:rPr>
          <w:szCs w:val="22"/>
        </w:rPr>
        <w:t>5</w:t>
      </w:r>
      <w:r>
        <w:rPr>
          <w:szCs w:val="22"/>
        </w:rPr>
        <w:t>) or, if he or she is age 50 or older, $6,</w:t>
      </w:r>
      <w:r w:rsidR="00B736C2">
        <w:rPr>
          <w:szCs w:val="22"/>
        </w:rPr>
        <w:t>5</w:t>
      </w:r>
      <w:r>
        <w:rPr>
          <w:szCs w:val="22"/>
        </w:rPr>
        <w:t xml:space="preserve">00. </w:t>
      </w:r>
      <w:r w:rsidR="00B231C5">
        <w:rPr>
          <w:szCs w:val="22"/>
        </w:rPr>
        <w:t>The maximum contribution that may be made to a Roth IRA is reduced, based on the individual’s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B231C5">
        <w:rPr>
          <w:szCs w:val="22"/>
        </w:rPr>
        <w:t>, according to the following formula:</w:t>
      </w:r>
    </w:p>
    <w:p w14:paraId="61215110" w14:textId="77777777" w:rsidR="009266CF" w:rsidRDefault="009266CF" w:rsidP="000927F0">
      <w:pPr>
        <w:spacing w:after="0"/>
        <w:rPr>
          <w:szCs w:val="22"/>
        </w:rPr>
      </w:pPr>
    </w:p>
    <w:tbl>
      <w:tblPr>
        <w:tblW w:w="0" w:type="auto"/>
        <w:jc w:val="center"/>
        <w:tblLayout w:type="fixed"/>
        <w:tblLook w:val="01E0" w:firstRow="1" w:lastRow="1" w:firstColumn="1" w:lastColumn="1" w:noHBand="0" w:noVBand="0"/>
      </w:tblPr>
      <w:tblGrid>
        <w:gridCol w:w="1421"/>
        <w:gridCol w:w="360"/>
        <w:gridCol w:w="4050"/>
        <w:gridCol w:w="270"/>
        <w:gridCol w:w="2268"/>
      </w:tblGrid>
      <w:tr w:rsidR="00B231C5" w:rsidRPr="006D389B" w14:paraId="4462EB8E" w14:textId="77777777" w:rsidTr="006D389B">
        <w:trPr>
          <w:jc w:val="center"/>
        </w:trPr>
        <w:tc>
          <w:tcPr>
            <w:tcW w:w="1421" w:type="dxa"/>
          </w:tcPr>
          <w:p w14:paraId="562FAFF3" w14:textId="77777777" w:rsidR="00B231C5" w:rsidRPr="000927F0" w:rsidRDefault="00B231C5" w:rsidP="006D389B">
            <w:pPr>
              <w:pStyle w:val="wTableNormal"/>
              <w:spacing w:before="80"/>
              <w:jc w:val="center"/>
            </w:pPr>
            <w:r w:rsidRPr="000927F0">
              <w:t>Contribution reduction</w:t>
            </w:r>
          </w:p>
        </w:tc>
        <w:tc>
          <w:tcPr>
            <w:tcW w:w="360" w:type="dxa"/>
          </w:tcPr>
          <w:p w14:paraId="7E7DCEA5" w14:textId="77777777" w:rsidR="00B231C5" w:rsidRPr="000927F0" w:rsidRDefault="00B231C5" w:rsidP="006D389B">
            <w:pPr>
              <w:pStyle w:val="wTableNormal"/>
              <w:spacing w:before="160"/>
              <w:jc w:val="center"/>
            </w:pPr>
            <w:r w:rsidRPr="000927F0">
              <w:t>=</w:t>
            </w:r>
          </w:p>
        </w:tc>
        <w:tc>
          <w:tcPr>
            <w:tcW w:w="4050" w:type="dxa"/>
          </w:tcPr>
          <w:p w14:paraId="3B6D9A2F" w14:textId="77777777" w:rsidR="00B231C5" w:rsidRPr="006D389B" w:rsidRDefault="00B231C5" w:rsidP="006D389B">
            <w:pPr>
              <w:pStyle w:val="wTableNormal"/>
              <w:jc w:val="center"/>
              <w:rPr>
                <w:u w:val="single"/>
              </w:rP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76C0DBDB" w14:textId="77777777" w:rsidR="00C31E61" w:rsidRPr="000927F0" w:rsidRDefault="00B231C5" w:rsidP="006D389B">
            <w:pPr>
              <w:pStyle w:val="wTableNormal"/>
              <w:jc w:val="center"/>
            </w:pPr>
            <w:r w:rsidRPr="000927F0">
              <w:t xml:space="preserve">$15,000 ($10,000 if joint </w:t>
            </w:r>
            <w:r w:rsidR="00662154" w:rsidRPr="000927F0">
              <w:t xml:space="preserve">or married filing separate </w:t>
            </w:r>
            <w:r w:rsidRPr="000927F0">
              <w:t>return)</w:t>
            </w:r>
          </w:p>
        </w:tc>
        <w:tc>
          <w:tcPr>
            <w:tcW w:w="270" w:type="dxa"/>
          </w:tcPr>
          <w:p w14:paraId="5FBF5824" w14:textId="77777777" w:rsidR="00B231C5" w:rsidRPr="000927F0" w:rsidRDefault="000927F0" w:rsidP="006D389B">
            <w:pPr>
              <w:pStyle w:val="wTableNormal"/>
              <w:spacing w:before="160"/>
              <w:jc w:val="center"/>
            </w:pPr>
            <w:r w:rsidRPr="000927F0">
              <w:t>x</w:t>
            </w:r>
          </w:p>
        </w:tc>
        <w:tc>
          <w:tcPr>
            <w:tcW w:w="2268" w:type="dxa"/>
          </w:tcPr>
          <w:p w14:paraId="4AA55962" w14:textId="77777777" w:rsidR="00B231C5" w:rsidRPr="000927F0" w:rsidRDefault="00B231C5" w:rsidP="006D389B">
            <w:pPr>
              <w:pStyle w:val="wTableNormal"/>
              <w:spacing w:before="160"/>
              <w:jc w:val="center"/>
            </w:pPr>
            <w:r w:rsidRPr="000927F0">
              <w:t>Maximum contribution</w:t>
            </w:r>
          </w:p>
        </w:tc>
      </w:tr>
    </w:tbl>
    <w:p w14:paraId="21F37018" w14:textId="77777777" w:rsidR="00B231C5" w:rsidRDefault="00B231C5" w:rsidP="000927F0">
      <w:pPr>
        <w:spacing w:after="0"/>
        <w:rPr>
          <w:szCs w:val="22"/>
        </w:rPr>
      </w:pPr>
    </w:p>
    <w:p w14:paraId="13200377" w14:textId="77777777" w:rsidR="00B127A3" w:rsidRDefault="00B231C5" w:rsidP="00825E0B">
      <w:pPr>
        <w:rPr>
          <w:szCs w:val="22"/>
        </w:rPr>
      </w:pPr>
      <w:r>
        <w:rPr>
          <w:szCs w:val="22"/>
        </w:rPr>
        <w:lastRenderedPageBreak/>
        <w:t>It’s interesting to note that</w:t>
      </w:r>
      <w:r w:rsidR="00434CE0" w:rsidRPr="000B485C">
        <w:rPr>
          <w:szCs w:val="22"/>
        </w:rPr>
        <w:t xml:space="preserve"> the formula used to determine eligibility to make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w:t>
      </w:r>
      <w:r w:rsidR="00B127A3" w:rsidRPr="000B485C">
        <w:rPr>
          <w:szCs w:val="22"/>
        </w:rPr>
        <w:t>contrib</w:t>
      </w:r>
      <w:r w:rsidR="00B127A3">
        <w:rPr>
          <w:szCs w:val="22"/>
        </w:rPr>
        <w:t>ution</w:t>
      </w:r>
      <w:r w:rsidR="00B127A3" w:rsidRPr="000B485C">
        <w:rPr>
          <w:szCs w:val="22"/>
        </w:rPr>
        <w:t xml:space="preserve"> employs</w:t>
      </w:r>
      <w:r w:rsidR="00434CE0" w:rsidRPr="000B485C">
        <w:rPr>
          <w:szCs w:val="22"/>
        </w:rPr>
        <w:t xml:space="preserve"> the same kind of language that we saw previously in determining the tax-deductibility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for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00434CE0" w:rsidRPr="000B485C">
        <w:rPr>
          <w:szCs w:val="22"/>
        </w:rPr>
        <w:t xml:space="preserve"> in a qualified plan.</w:t>
      </w:r>
    </w:p>
    <w:p w14:paraId="4E31AF4A" w14:textId="77777777" w:rsidR="00B127A3" w:rsidRDefault="00886231" w:rsidP="00DC3545">
      <w:pPr>
        <w:spacing w:before="120"/>
        <w:rPr>
          <w:szCs w:val="22"/>
        </w:rPr>
      </w:pPr>
      <w:r>
        <w:rPr>
          <w:szCs w:val="22"/>
        </w:rPr>
        <w:t>Just as it was in that earlier formula, t</w:t>
      </w:r>
      <w:r w:rsidR="00434CE0" w:rsidRPr="000B485C">
        <w:rPr>
          <w:szCs w:val="22"/>
        </w:rPr>
        <w:t xml:space="preserve">he </w:t>
      </w:r>
      <w:r w:rsidR="00297ACB">
        <w:rPr>
          <w:szCs w:val="22"/>
        </w:rPr>
        <w:t>“</w:t>
      </w:r>
      <w:r w:rsidR="00434CE0" w:rsidRPr="000B485C">
        <w:rPr>
          <w:szCs w:val="22"/>
        </w:rPr>
        <w:t>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sidR="00297ACB">
        <w:rPr>
          <w:szCs w:val="22"/>
        </w:rPr>
        <w:t>”</w:t>
      </w:r>
      <w:r w:rsidR="00434CE0" w:rsidRPr="000B485C">
        <w:rPr>
          <w:szCs w:val="22"/>
        </w:rPr>
        <w:t xml:space="preserve"> in the </w:t>
      </w:r>
      <w:r w:rsidR="00B127A3">
        <w:rPr>
          <w:szCs w:val="22"/>
        </w:rPr>
        <w:t xml:space="preserve">Roth </w:t>
      </w:r>
      <w:r>
        <w:rPr>
          <w:szCs w:val="22"/>
        </w:rPr>
        <w:t>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w:t>
      </w:r>
      <w:r w:rsidR="00434CE0" w:rsidRPr="000B485C">
        <w:rPr>
          <w:szCs w:val="22"/>
        </w:rPr>
        <w:t>formula is based on</w:t>
      </w:r>
      <w:r w:rsidR="00B127A3">
        <w:rPr>
          <w:szCs w:val="22"/>
        </w:rPr>
        <w:t xml:space="preserve"> the individual’s filing status, as shown in the following</w:t>
      </w:r>
      <w:r w:rsidR="00DC3545">
        <w:rPr>
          <w:szCs w:val="22"/>
        </w:rPr>
        <w:t xml:space="preserve"> chart</w:t>
      </w:r>
      <w:r w:rsidR="00B127A3">
        <w:rPr>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50"/>
        <w:gridCol w:w="2712"/>
        <w:gridCol w:w="2700"/>
      </w:tblGrid>
      <w:tr w:rsidR="008D43E5" w:rsidRPr="006D389B" w14:paraId="19E88139" w14:textId="77777777" w:rsidTr="001B201F">
        <w:trPr>
          <w:jc w:val="center"/>
        </w:trPr>
        <w:tc>
          <w:tcPr>
            <w:tcW w:w="315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631E9986" w14:textId="77777777" w:rsidR="008D43E5" w:rsidRPr="009266CF" w:rsidRDefault="008D43E5" w:rsidP="00364DB1">
            <w:pPr>
              <w:pStyle w:val="WTableHeaderChar"/>
            </w:pPr>
            <w:r w:rsidRPr="009266CF">
              <w:t>Federal</w:t>
            </w:r>
            <w:r>
              <w:t xml:space="preserve"> </w:t>
            </w:r>
            <w:r w:rsidRPr="009266CF">
              <w:t>Income Tax</w:t>
            </w:r>
            <w:r>
              <w:br/>
            </w:r>
            <w:r w:rsidRPr="009266CF">
              <w:t>Filing Status</w:t>
            </w:r>
          </w:p>
        </w:tc>
        <w:tc>
          <w:tcPr>
            <w:tcW w:w="2712"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27F49C3F" w14:textId="77777777" w:rsidR="008D43E5" w:rsidRPr="009266CF" w:rsidRDefault="008D43E5" w:rsidP="00687E51">
            <w:pPr>
              <w:pStyle w:val="WTableHeaderChar"/>
            </w:pPr>
            <w:r w:rsidRPr="009266CF">
              <w:t>Applicable</w:t>
            </w:r>
            <w:r>
              <w:t xml:space="preserve"> </w:t>
            </w:r>
            <w:r w:rsidRPr="009266CF">
              <w:t>Dollar</w:t>
            </w:r>
            <w:r>
              <w:br/>
            </w:r>
            <w:r w:rsidRPr="009266CF">
              <w:t>Amount</w:t>
            </w:r>
            <w:r>
              <w:t xml:space="preserve"> (201</w:t>
            </w:r>
            <w:r w:rsidR="00687E51">
              <w:t>4</w:t>
            </w:r>
            <w:r>
              <w:t>)</w:t>
            </w:r>
          </w:p>
        </w:tc>
        <w:tc>
          <w:tcPr>
            <w:tcW w:w="270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6E1AEC4F" w14:textId="77777777" w:rsidR="008D43E5" w:rsidRPr="009266CF" w:rsidRDefault="008D43E5" w:rsidP="00687E51">
            <w:pPr>
              <w:pStyle w:val="WTableHeaderChar"/>
            </w:pPr>
            <w:r w:rsidRPr="009266CF">
              <w:t>Applicable</w:t>
            </w:r>
            <w:r>
              <w:t xml:space="preserve"> </w:t>
            </w:r>
            <w:r w:rsidRPr="009266CF">
              <w:t>Dollar</w:t>
            </w:r>
            <w:r>
              <w:br/>
            </w:r>
            <w:r w:rsidRPr="009266CF">
              <w:t>Amount</w:t>
            </w:r>
            <w:r>
              <w:t xml:space="preserve"> (201</w:t>
            </w:r>
            <w:r w:rsidR="00687E51">
              <w:t>5</w:t>
            </w:r>
            <w:r>
              <w:t>)</w:t>
            </w:r>
          </w:p>
        </w:tc>
      </w:tr>
      <w:tr w:rsidR="00687E51" w:rsidRPr="006D389B" w14:paraId="39B4F368" w14:textId="77777777" w:rsidTr="001B201F">
        <w:trPr>
          <w:jc w:val="center"/>
        </w:trPr>
        <w:tc>
          <w:tcPr>
            <w:tcW w:w="3150" w:type="dxa"/>
            <w:tcBorders>
              <w:bottom w:val="single" w:sz="6" w:space="0" w:color="auto"/>
              <w:right w:val="single" w:sz="6" w:space="0" w:color="auto"/>
            </w:tcBorders>
          </w:tcPr>
          <w:p w14:paraId="07B21830" w14:textId="77777777" w:rsidR="00687E51" w:rsidRPr="00A7259E" w:rsidRDefault="00687E51" w:rsidP="00364DB1">
            <w:pPr>
              <w:pStyle w:val="wTableNormal"/>
            </w:pPr>
            <w:r w:rsidRPr="00A7259E">
              <w:t xml:space="preserve">Individual </w:t>
            </w:r>
          </w:p>
        </w:tc>
        <w:tc>
          <w:tcPr>
            <w:tcW w:w="2712" w:type="dxa"/>
            <w:tcBorders>
              <w:left w:val="single" w:sz="6" w:space="0" w:color="auto"/>
              <w:bottom w:val="single" w:sz="6" w:space="0" w:color="auto"/>
            </w:tcBorders>
          </w:tcPr>
          <w:p w14:paraId="5656B0EB" w14:textId="77777777" w:rsidR="00687E51" w:rsidRPr="00A7259E" w:rsidRDefault="00687E51" w:rsidP="00B52B4E">
            <w:pPr>
              <w:pStyle w:val="wTableNormal"/>
              <w:ind w:right="827"/>
              <w:jc w:val="right"/>
            </w:pPr>
            <w:r>
              <w:t>$114,000</w:t>
            </w:r>
          </w:p>
        </w:tc>
        <w:tc>
          <w:tcPr>
            <w:tcW w:w="2700" w:type="dxa"/>
            <w:tcBorders>
              <w:left w:val="single" w:sz="6" w:space="0" w:color="auto"/>
              <w:bottom w:val="single" w:sz="6" w:space="0" w:color="auto"/>
            </w:tcBorders>
          </w:tcPr>
          <w:p w14:paraId="56CE0C26" w14:textId="77777777" w:rsidR="00687E51" w:rsidRDefault="00687E51" w:rsidP="00B736C2">
            <w:pPr>
              <w:pStyle w:val="wTableNormal"/>
              <w:ind w:right="827"/>
              <w:jc w:val="right"/>
            </w:pPr>
            <w:r>
              <w:t>$116,000</w:t>
            </w:r>
          </w:p>
        </w:tc>
      </w:tr>
      <w:tr w:rsidR="00687E51" w:rsidRPr="006D389B" w14:paraId="5602A414" w14:textId="77777777" w:rsidTr="001B201F">
        <w:trPr>
          <w:jc w:val="center"/>
        </w:trPr>
        <w:tc>
          <w:tcPr>
            <w:tcW w:w="3150" w:type="dxa"/>
            <w:tcBorders>
              <w:top w:val="single" w:sz="6" w:space="0" w:color="auto"/>
              <w:bottom w:val="single" w:sz="6" w:space="0" w:color="auto"/>
              <w:right w:val="single" w:sz="6" w:space="0" w:color="auto"/>
            </w:tcBorders>
          </w:tcPr>
          <w:p w14:paraId="6DEAC24E" w14:textId="77777777" w:rsidR="00687E51" w:rsidRPr="00A7259E" w:rsidRDefault="00687E51" w:rsidP="00364DB1">
            <w:pPr>
              <w:pStyle w:val="wTableNormal"/>
            </w:pPr>
            <w:r w:rsidRPr="00A7259E">
              <w:t>Married, filing a joint return</w:t>
            </w:r>
          </w:p>
        </w:tc>
        <w:tc>
          <w:tcPr>
            <w:tcW w:w="2712" w:type="dxa"/>
            <w:tcBorders>
              <w:top w:val="single" w:sz="6" w:space="0" w:color="auto"/>
              <w:left w:val="single" w:sz="6" w:space="0" w:color="auto"/>
              <w:bottom w:val="single" w:sz="6" w:space="0" w:color="auto"/>
            </w:tcBorders>
          </w:tcPr>
          <w:p w14:paraId="622D2F42" w14:textId="77777777" w:rsidR="00687E51" w:rsidRPr="00A7259E" w:rsidRDefault="00687E51" w:rsidP="00B52B4E">
            <w:pPr>
              <w:pStyle w:val="wTableNormal"/>
              <w:ind w:right="827"/>
              <w:jc w:val="right"/>
            </w:pPr>
            <w:r>
              <w:t>$181,000</w:t>
            </w:r>
          </w:p>
        </w:tc>
        <w:tc>
          <w:tcPr>
            <w:tcW w:w="2700" w:type="dxa"/>
            <w:tcBorders>
              <w:top w:val="single" w:sz="6" w:space="0" w:color="auto"/>
              <w:left w:val="single" w:sz="6" w:space="0" w:color="auto"/>
              <w:bottom w:val="single" w:sz="6" w:space="0" w:color="auto"/>
            </w:tcBorders>
          </w:tcPr>
          <w:p w14:paraId="7A7AD9CE" w14:textId="77777777" w:rsidR="00687E51" w:rsidRPr="00A7259E" w:rsidRDefault="00687E51" w:rsidP="00B736C2">
            <w:pPr>
              <w:pStyle w:val="wTableNormal"/>
              <w:ind w:right="827"/>
              <w:jc w:val="right"/>
            </w:pPr>
            <w:r>
              <w:t>$183,000</w:t>
            </w:r>
          </w:p>
        </w:tc>
      </w:tr>
      <w:tr w:rsidR="00B736C2" w:rsidRPr="006D389B" w14:paraId="67FEBFAB" w14:textId="77777777" w:rsidTr="001B201F">
        <w:trPr>
          <w:jc w:val="center"/>
        </w:trPr>
        <w:tc>
          <w:tcPr>
            <w:tcW w:w="3150" w:type="dxa"/>
            <w:tcBorders>
              <w:top w:val="single" w:sz="6" w:space="0" w:color="auto"/>
              <w:right w:val="single" w:sz="6" w:space="0" w:color="auto"/>
            </w:tcBorders>
          </w:tcPr>
          <w:p w14:paraId="3E5D7100" w14:textId="77777777" w:rsidR="00B736C2" w:rsidRPr="00A7259E" w:rsidRDefault="00B736C2" w:rsidP="00364DB1">
            <w:pPr>
              <w:pStyle w:val="wTableNormal"/>
            </w:pPr>
            <w:r w:rsidRPr="00A7259E">
              <w:t>Married, filing separately</w:t>
            </w:r>
          </w:p>
        </w:tc>
        <w:tc>
          <w:tcPr>
            <w:tcW w:w="2712" w:type="dxa"/>
            <w:tcBorders>
              <w:top w:val="single" w:sz="6" w:space="0" w:color="auto"/>
              <w:left w:val="single" w:sz="6" w:space="0" w:color="auto"/>
            </w:tcBorders>
          </w:tcPr>
          <w:p w14:paraId="21C4EFC2" w14:textId="77777777" w:rsidR="00B736C2" w:rsidRPr="00A7259E" w:rsidRDefault="00B736C2" w:rsidP="006D389B">
            <w:pPr>
              <w:pStyle w:val="wTableNormal"/>
              <w:ind w:right="827"/>
              <w:jc w:val="right"/>
            </w:pPr>
            <w:r>
              <w:t>$0</w:t>
            </w:r>
          </w:p>
        </w:tc>
        <w:tc>
          <w:tcPr>
            <w:tcW w:w="2700" w:type="dxa"/>
            <w:tcBorders>
              <w:top w:val="single" w:sz="6" w:space="0" w:color="auto"/>
              <w:left w:val="single" w:sz="6" w:space="0" w:color="auto"/>
            </w:tcBorders>
          </w:tcPr>
          <w:p w14:paraId="1B2EA864" w14:textId="77777777" w:rsidR="00B736C2" w:rsidRDefault="00B736C2" w:rsidP="006D389B">
            <w:pPr>
              <w:pStyle w:val="wTableNormal"/>
              <w:ind w:right="827"/>
              <w:jc w:val="right"/>
            </w:pPr>
            <w:r>
              <w:t>$0</w:t>
            </w:r>
          </w:p>
        </w:tc>
      </w:tr>
    </w:tbl>
    <w:p w14:paraId="330BFDEE" w14:textId="77777777" w:rsidR="00B127A3" w:rsidRDefault="00B127A3" w:rsidP="000A207F">
      <w:pPr>
        <w:spacing w:before="120"/>
        <w:rPr>
          <w:szCs w:val="22"/>
        </w:rPr>
      </w:pPr>
      <w:r>
        <w:rPr>
          <w:szCs w:val="22"/>
        </w:rPr>
        <w:t>In order to better understand the impact of the individual’s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on his or her eligibility to make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contribution, we will consider several hypothetical clients.</w:t>
      </w:r>
    </w:p>
    <w:p w14:paraId="6E196222" w14:textId="77777777" w:rsidR="00434CE0" w:rsidRDefault="00BF3E4F" w:rsidP="00DC3545">
      <w:pPr>
        <w:spacing w:before="120"/>
        <w:rPr>
          <w:szCs w:val="22"/>
        </w:rPr>
      </w:pPr>
      <w:r>
        <w:rPr>
          <w:szCs w:val="22"/>
        </w:rPr>
        <w:t xml:space="preserve">John Ross is </w:t>
      </w:r>
      <w:r w:rsidR="00434CE0" w:rsidRPr="000B485C">
        <w:rPr>
          <w:szCs w:val="22"/>
        </w:rPr>
        <w:t>single</w:t>
      </w:r>
      <w:r w:rsidR="008D43E5">
        <w:rPr>
          <w:szCs w:val="22"/>
        </w:rPr>
        <w:t>, age 42</w:t>
      </w:r>
      <w:r w:rsidR="00434CE0" w:rsidRPr="000B485C">
        <w:rPr>
          <w:szCs w:val="22"/>
        </w:rPr>
        <w:t xml:space="preserve"> </w:t>
      </w:r>
      <w:r>
        <w:rPr>
          <w:szCs w:val="22"/>
        </w:rPr>
        <w:t>and</w:t>
      </w:r>
      <w:r w:rsidR="00434CE0" w:rsidRPr="000B485C">
        <w:rPr>
          <w:szCs w:val="22"/>
        </w:rPr>
        <w:t xml:space="preserve"> has an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434CE0" w:rsidRPr="000B485C">
        <w:rPr>
          <w:szCs w:val="22"/>
        </w:rPr>
        <w:t xml:space="preserve"> of $1</w:t>
      </w:r>
      <w:r w:rsidR="00687E51">
        <w:rPr>
          <w:szCs w:val="22"/>
        </w:rPr>
        <w:t>21</w:t>
      </w:r>
      <w:r w:rsidR="00434CE0" w:rsidRPr="000B485C">
        <w:rPr>
          <w:szCs w:val="22"/>
        </w:rPr>
        <w:t>,000</w:t>
      </w:r>
      <w:r>
        <w:rPr>
          <w:szCs w:val="22"/>
        </w:rPr>
        <w:t>.</w:t>
      </w:r>
      <w:r w:rsidR="00297ACB">
        <w:rPr>
          <w:szCs w:val="22"/>
        </w:rPr>
        <w:t xml:space="preserve"> </w:t>
      </w:r>
      <w:r>
        <w:rPr>
          <w:szCs w:val="22"/>
        </w:rPr>
        <w:t>Since he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his employer’s 401(k) plan</w:t>
      </w:r>
      <w:r w:rsidR="00687E51">
        <w:rPr>
          <w:szCs w:val="22"/>
        </w:rPr>
        <w:t xml:space="preserve"> and would be unable to deduct a traditional IRA contribution</w:t>
      </w:r>
      <w:r>
        <w:rPr>
          <w:szCs w:val="22"/>
        </w:rPr>
        <w:t>, he</w:t>
      </w:r>
      <w:r w:rsidR="00434CE0" w:rsidRPr="000B485C">
        <w:rPr>
          <w:szCs w:val="22"/>
        </w:rPr>
        <w:t xml:space="preserve"> wants to make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contribution</w:t>
      </w:r>
      <w:r>
        <w:rPr>
          <w:szCs w:val="22"/>
        </w:rPr>
        <w:t xml:space="preserve"> instead of, or in addition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w:t>
      </w:r>
      <w:r w:rsidR="00434CE0" w:rsidRPr="000B485C">
        <w:rPr>
          <w:szCs w:val="22"/>
        </w:rPr>
        <w:t>.</w:t>
      </w:r>
      <w:r w:rsidR="00297ACB">
        <w:rPr>
          <w:szCs w:val="22"/>
        </w:rPr>
        <w:t xml:space="preserve"> </w:t>
      </w:r>
      <w:r>
        <w:rPr>
          <w:szCs w:val="22"/>
        </w:rPr>
        <w:t>To determine if John is eligible to make a Roth IRA contribution</w:t>
      </w:r>
      <w:r w:rsidR="00DF6960">
        <w:rPr>
          <w:szCs w:val="22"/>
        </w:rPr>
        <w:t xml:space="preserve"> in </w:t>
      </w:r>
      <w:r w:rsidR="00275068">
        <w:rPr>
          <w:szCs w:val="22"/>
        </w:rPr>
        <w:t>20</w:t>
      </w:r>
      <w:r w:rsidR="000A207F">
        <w:rPr>
          <w:szCs w:val="22"/>
        </w:rPr>
        <w:t>1</w:t>
      </w:r>
      <w:r w:rsidR="00687E51">
        <w:rPr>
          <w:szCs w:val="22"/>
        </w:rPr>
        <w:t>5</w:t>
      </w:r>
      <w:r w:rsidR="00EE0722">
        <w:rPr>
          <w:szCs w:val="22"/>
        </w:rPr>
        <w:t xml:space="preserve"> and whether the maximum contribution is reduced, all we need to do is substitute John’s AGI in the formula:</w:t>
      </w:r>
    </w:p>
    <w:tbl>
      <w:tblPr>
        <w:tblW w:w="0" w:type="auto"/>
        <w:jc w:val="center"/>
        <w:tblLook w:val="01E0" w:firstRow="1" w:lastRow="1" w:firstColumn="1" w:lastColumn="1" w:noHBand="0" w:noVBand="0"/>
      </w:tblPr>
      <w:tblGrid>
        <w:gridCol w:w="1620"/>
        <w:gridCol w:w="450"/>
        <w:gridCol w:w="3050"/>
        <w:gridCol w:w="550"/>
        <w:gridCol w:w="990"/>
        <w:gridCol w:w="360"/>
        <w:gridCol w:w="1440"/>
      </w:tblGrid>
      <w:tr w:rsidR="00702E10" w:rsidRPr="006D389B" w14:paraId="469F155C" w14:textId="77777777" w:rsidTr="006D389B">
        <w:trPr>
          <w:jc w:val="center"/>
        </w:trPr>
        <w:tc>
          <w:tcPr>
            <w:tcW w:w="1620" w:type="dxa"/>
          </w:tcPr>
          <w:p w14:paraId="5ED6A7EA" w14:textId="77777777" w:rsidR="00702E10" w:rsidRPr="00A7259E" w:rsidRDefault="00702E10" w:rsidP="006D389B">
            <w:pPr>
              <w:pStyle w:val="wTableNormal"/>
              <w:jc w:val="center"/>
            </w:pPr>
            <w:r w:rsidRPr="00A7259E">
              <w:t>Contribution reduction</w:t>
            </w:r>
          </w:p>
        </w:tc>
        <w:tc>
          <w:tcPr>
            <w:tcW w:w="450" w:type="dxa"/>
          </w:tcPr>
          <w:p w14:paraId="6BF495B2" w14:textId="77777777" w:rsidR="00702E10" w:rsidRPr="00A7259E" w:rsidRDefault="00702E10" w:rsidP="006D389B">
            <w:pPr>
              <w:pStyle w:val="wTableNormal"/>
              <w:jc w:val="center"/>
            </w:pPr>
            <w:r w:rsidRPr="00A7259E">
              <w:t>=</w:t>
            </w:r>
          </w:p>
        </w:tc>
        <w:tc>
          <w:tcPr>
            <w:tcW w:w="3050" w:type="dxa"/>
          </w:tcPr>
          <w:p w14:paraId="211FB7C4" w14:textId="77777777" w:rsidR="00702E10" w:rsidRPr="006D389B" w:rsidRDefault="00702E10" w:rsidP="006D389B">
            <w:pPr>
              <w:pStyle w:val="wTableNormal"/>
              <w:jc w:val="center"/>
              <w:rPr>
                <w:u w:val="single"/>
              </w:rPr>
            </w:pPr>
            <w:r w:rsidRPr="006D389B">
              <w:rPr>
                <w:u w:val="single"/>
              </w:rPr>
              <w:t>$1</w:t>
            </w:r>
            <w:r w:rsidR="00687E51">
              <w:rPr>
                <w:u w:val="single"/>
              </w:rPr>
              <w:t>2</w:t>
            </w:r>
            <w:r w:rsidR="006E5544" w:rsidRPr="006D389B">
              <w:rPr>
                <w:u w:val="single"/>
              </w:rPr>
              <w:t>1</w:t>
            </w:r>
            <w:r w:rsidRPr="006D389B">
              <w:rPr>
                <w:u w:val="single"/>
              </w:rPr>
              <w:t>,000 - $</w:t>
            </w:r>
            <w:r w:rsidR="00275068" w:rsidRPr="006D389B">
              <w:rPr>
                <w:u w:val="single"/>
              </w:rPr>
              <w:t>1</w:t>
            </w:r>
            <w:r w:rsidR="008D43E5">
              <w:rPr>
                <w:u w:val="single"/>
              </w:rPr>
              <w:t>1</w:t>
            </w:r>
            <w:r w:rsidR="009D6B50">
              <w:rPr>
                <w:u w:val="single"/>
              </w:rPr>
              <w:t>6</w:t>
            </w:r>
            <w:r w:rsidRPr="006D389B">
              <w:rPr>
                <w:u w:val="single"/>
              </w:rPr>
              <w:t>,000</w:t>
            </w:r>
          </w:p>
          <w:p w14:paraId="58D99578" w14:textId="77777777" w:rsidR="00702E10" w:rsidRPr="00A7259E" w:rsidRDefault="00702E10" w:rsidP="006D389B">
            <w:pPr>
              <w:pStyle w:val="wTableNormal"/>
              <w:jc w:val="center"/>
            </w:pPr>
            <w:r w:rsidRPr="00A7259E">
              <w:t>$15,000</w:t>
            </w:r>
          </w:p>
        </w:tc>
        <w:tc>
          <w:tcPr>
            <w:tcW w:w="550" w:type="dxa"/>
          </w:tcPr>
          <w:p w14:paraId="2E48106F" w14:textId="77777777" w:rsidR="00702E10" w:rsidRPr="00A7259E" w:rsidRDefault="00702E10" w:rsidP="006D389B">
            <w:pPr>
              <w:pStyle w:val="wTableNormal"/>
              <w:jc w:val="center"/>
            </w:pPr>
            <w:r w:rsidRPr="00A7259E">
              <w:t>X</w:t>
            </w:r>
          </w:p>
        </w:tc>
        <w:tc>
          <w:tcPr>
            <w:tcW w:w="990" w:type="dxa"/>
          </w:tcPr>
          <w:p w14:paraId="1DAB451F" w14:textId="77777777" w:rsidR="00702E10" w:rsidRPr="00A7259E" w:rsidRDefault="00DF6960" w:rsidP="00B736C2">
            <w:pPr>
              <w:pStyle w:val="wTableNormal"/>
              <w:jc w:val="center"/>
            </w:pPr>
            <w:r>
              <w:t>$</w:t>
            </w:r>
            <w:r w:rsidR="00275068">
              <w:t>5</w:t>
            </w:r>
            <w:r w:rsidR="00702E10" w:rsidRPr="00A7259E">
              <w:t>,</w:t>
            </w:r>
            <w:r w:rsidR="00B736C2">
              <w:t>5</w:t>
            </w:r>
            <w:r w:rsidR="00702E10" w:rsidRPr="00A7259E">
              <w:t>00</w:t>
            </w:r>
          </w:p>
        </w:tc>
        <w:tc>
          <w:tcPr>
            <w:tcW w:w="360" w:type="dxa"/>
          </w:tcPr>
          <w:p w14:paraId="4E878516" w14:textId="77777777" w:rsidR="00702E10" w:rsidRPr="00A7259E" w:rsidRDefault="00702E10" w:rsidP="006D389B">
            <w:pPr>
              <w:pStyle w:val="wTableNormal"/>
              <w:jc w:val="center"/>
            </w:pPr>
            <w:r w:rsidRPr="00A7259E">
              <w:t>=</w:t>
            </w:r>
          </w:p>
        </w:tc>
        <w:tc>
          <w:tcPr>
            <w:tcW w:w="1440" w:type="dxa"/>
          </w:tcPr>
          <w:p w14:paraId="40097A21" w14:textId="77777777" w:rsidR="00702E10" w:rsidRPr="00A7259E" w:rsidRDefault="00DF6960" w:rsidP="00B736C2">
            <w:pPr>
              <w:pStyle w:val="wTableNormal"/>
              <w:jc w:val="center"/>
            </w:pPr>
            <w:r>
              <w:t>$1,</w:t>
            </w:r>
            <w:r w:rsidR="00B736C2">
              <w:t>833</w:t>
            </w:r>
          </w:p>
        </w:tc>
      </w:tr>
    </w:tbl>
    <w:p w14:paraId="60034E4D" w14:textId="77777777" w:rsidR="00702E10" w:rsidRDefault="00EE0722" w:rsidP="00DC3545">
      <w:pPr>
        <w:spacing w:before="120"/>
        <w:rPr>
          <w:szCs w:val="22"/>
        </w:rPr>
      </w:pPr>
      <w:r>
        <w:rPr>
          <w:szCs w:val="22"/>
        </w:rPr>
        <w:t>It is easy to see that the maximum contribution that Joh</w:t>
      </w:r>
      <w:r w:rsidR="00DF6960">
        <w:rPr>
          <w:szCs w:val="22"/>
        </w:rPr>
        <w:t>n can make 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DF6960">
        <w:rPr>
          <w:szCs w:val="22"/>
        </w:rPr>
        <w:t xml:space="preserve"> in </w:t>
      </w:r>
      <w:r w:rsidR="00275068">
        <w:rPr>
          <w:szCs w:val="22"/>
        </w:rPr>
        <w:t>20</w:t>
      </w:r>
      <w:r w:rsidR="000A207F">
        <w:rPr>
          <w:szCs w:val="22"/>
        </w:rPr>
        <w:t>1</w:t>
      </w:r>
      <w:r w:rsidR="009D6B50">
        <w:rPr>
          <w:szCs w:val="22"/>
        </w:rPr>
        <w:t>5</w:t>
      </w:r>
      <w:r w:rsidR="00DF6960">
        <w:rPr>
          <w:szCs w:val="22"/>
        </w:rPr>
        <w:t xml:space="preserve"> is $</w:t>
      </w:r>
      <w:r w:rsidR="00275068">
        <w:rPr>
          <w:szCs w:val="22"/>
        </w:rPr>
        <w:t>3,</w:t>
      </w:r>
      <w:r w:rsidR="00B736C2">
        <w:rPr>
          <w:szCs w:val="22"/>
        </w:rPr>
        <w:t>667</w:t>
      </w:r>
      <w:r w:rsidR="00DF6960">
        <w:rPr>
          <w:szCs w:val="22"/>
        </w:rPr>
        <w:t xml:space="preserve"> instead of the maximum $</w:t>
      </w:r>
      <w:r w:rsidR="00275068">
        <w:rPr>
          <w:szCs w:val="22"/>
        </w:rPr>
        <w:t>5</w:t>
      </w:r>
      <w:r>
        <w:rPr>
          <w:szCs w:val="22"/>
        </w:rPr>
        <w:t>,</w:t>
      </w:r>
      <w:r w:rsidR="00B736C2">
        <w:rPr>
          <w:szCs w:val="22"/>
        </w:rPr>
        <w:t>5</w:t>
      </w:r>
      <w:r>
        <w:rPr>
          <w:szCs w:val="22"/>
        </w:rPr>
        <w:t>00</w:t>
      </w:r>
      <w:r w:rsidR="00702E10">
        <w:rPr>
          <w:szCs w:val="22"/>
        </w:rPr>
        <w:t xml:space="preserve"> because his AGI is greater than the 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Pr>
          <w:szCs w:val="22"/>
        </w:rPr>
        <w:t>.</w:t>
      </w:r>
      <w:r w:rsidR="00297ACB">
        <w:rPr>
          <w:szCs w:val="22"/>
        </w:rPr>
        <w:t xml:space="preserve"> </w:t>
      </w:r>
      <w:r w:rsidR="00702E10">
        <w:rPr>
          <w:szCs w:val="22"/>
        </w:rPr>
        <w:t>By substituting the appropriate numbers in the formula, we can determine that the reducti</w:t>
      </w:r>
      <w:r w:rsidR="00DF6960">
        <w:rPr>
          <w:szCs w:val="22"/>
        </w:rPr>
        <w:t>on in his contribution is $</w:t>
      </w:r>
      <w:r w:rsidR="00275068">
        <w:rPr>
          <w:szCs w:val="22"/>
        </w:rPr>
        <w:t>1,</w:t>
      </w:r>
      <w:r w:rsidR="00B736C2">
        <w:rPr>
          <w:szCs w:val="22"/>
        </w:rPr>
        <w:t>833</w:t>
      </w:r>
      <w:r w:rsidR="00702E10">
        <w:rPr>
          <w:szCs w:val="22"/>
        </w:rPr>
        <w:t>.</w:t>
      </w:r>
      <w:r w:rsidR="00297ACB">
        <w:rPr>
          <w:szCs w:val="22"/>
        </w:rPr>
        <w:t xml:space="preserve"> </w:t>
      </w:r>
      <w:r w:rsidR="00702E10">
        <w:rPr>
          <w:szCs w:val="22"/>
        </w:rPr>
        <w:t>Since the max</w:t>
      </w:r>
      <w:r w:rsidR="00DF6960">
        <w:rPr>
          <w:szCs w:val="22"/>
        </w:rPr>
        <w:t>imum Roth IRA contribution is $</w:t>
      </w:r>
      <w:r w:rsidR="00275068">
        <w:rPr>
          <w:szCs w:val="22"/>
        </w:rPr>
        <w:t>5,</w:t>
      </w:r>
      <w:r w:rsidR="00B736C2">
        <w:rPr>
          <w:szCs w:val="22"/>
        </w:rPr>
        <w:t>5</w:t>
      </w:r>
      <w:r w:rsidR="00275068">
        <w:rPr>
          <w:szCs w:val="22"/>
        </w:rPr>
        <w:t>00</w:t>
      </w:r>
      <w:r w:rsidR="00DF6960">
        <w:rPr>
          <w:szCs w:val="22"/>
        </w:rPr>
        <w:t>, a reduction of $</w:t>
      </w:r>
      <w:r w:rsidR="00275068">
        <w:rPr>
          <w:szCs w:val="22"/>
        </w:rPr>
        <w:t>1,</w:t>
      </w:r>
      <w:r w:rsidR="00B736C2">
        <w:rPr>
          <w:szCs w:val="22"/>
        </w:rPr>
        <w:t>833</w:t>
      </w:r>
      <w:r w:rsidR="00275068">
        <w:rPr>
          <w:szCs w:val="22"/>
        </w:rPr>
        <w:t xml:space="preserve"> </w:t>
      </w:r>
      <w:r w:rsidR="00702E10">
        <w:rPr>
          <w:szCs w:val="22"/>
        </w:rPr>
        <w:t>mean</w:t>
      </w:r>
      <w:r w:rsidR="00DF6960">
        <w:rPr>
          <w:szCs w:val="22"/>
        </w:rPr>
        <w:t>s he can contribute $</w:t>
      </w:r>
      <w:r w:rsidR="00275068">
        <w:rPr>
          <w:szCs w:val="22"/>
        </w:rPr>
        <w:t>3,</w:t>
      </w:r>
      <w:r w:rsidR="00B736C2">
        <w:rPr>
          <w:szCs w:val="22"/>
        </w:rPr>
        <w:t>667</w:t>
      </w:r>
      <w:r w:rsidR="00702E10">
        <w:rPr>
          <w:szCs w:val="22"/>
        </w:rPr>
        <w:t>.</w:t>
      </w:r>
      <w:r w:rsidR="00297ACB">
        <w:rPr>
          <w:szCs w:val="22"/>
        </w:rPr>
        <w:t xml:space="preserve"> </w:t>
      </w:r>
      <w:r w:rsidR="00702E10">
        <w:rPr>
          <w:szCs w:val="22"/>
        </w:rPr>
        <w:t>Even though John’s Roth IRA contribution is reduced, he can</w:t>
      </w:r>
      <w:r w:rsidR="00DF6960">
        <w:rPr>
          <w:szCs w:val="22"/>
        </w:rPr>
        <w:t xml:space="preserve"> contribute the remaining $</w:t>
      </w:r>
      <w:r w:rsidR="00275068">
        <w:rPr>
          <w:szCs w:val="22"/>
        </w:rPr>
        <w:t>1,</w:t>
      </w:r>
      <w:r w:rsidR="00B736C2">
        <w:rPr>
          <w:szCs w:val="22"/>
        </w:rPr>
        <w:t>833</w:t>
      </w:r>
      <w:r w:rsidR="00DF6960">
        <w:rPr>
          <w:szCs w:val="22"/>
        </w:rPr>
        <w:t xml:space="preserv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DF6960">
        <w:rPr>
          <w:szCs w:val="22"/>
        </w:rPr>
        <w:t xml:space="preserve"> in </w:t>
      </w:r>
      <w:r w:rsidR="00275068">
        <w:rPr>
          <w:szCs w:val="22"/>
        </w:rPr>
        <w:t>20</w:t>
      </w:r>
      <w:r w:rsidR="000A207F">
        <w:rPr>
          <w:szCs w:val="22"/>
        </w:rPr>
        <w:t>1</w:t>
      </w:r>
      <w:r w:rsidR="009D6B50">
        <w:rPr>
          <w:szCs w:val="22"/>
        </w:rPr>
        <w:t>5</w:t>
      </w:r>
      <w:r w:rsidR="00702E10">
        <w:rPr>
          <w:szCs w:val="22"/>
        </w:rPr>
        <w:t xml:space="preserve"> as a </w:t>
      </w:r>
      <w:r w:rsidR="00702E10">
        <w:rPr>
          <w:i/>
          <w:szCs w:val="22"/>
        </w:rPr>
        <w:t>non-deductible</w:t>
      </w:r>
      <w:r w:rsidR="00702E10">
        <w:rPr>
          <w:szCs w:val="22"/>
        </w:rPr>
        <w:t xml:space="preserve"> contribution.</w:t>
      </w:r>
    </w:p>
    <w:p w14:paraId="79DFBEAE" w14:textId="77777777" w:rsidR="00702E10" w:rsidRDefault="00702E10" w:rsidP="00DC3545">
      <w:pPr>
        <w:spacing w:before="120"/>
        <w:rPr>
          <w:szCs w:val="22"/>
        </w:rPr>
      </w:pPr>
      <w:r>
        <w:rPr>
          <w:szCs w:val="22"/>
        </w:rPr>
        <w:t xml:space="preserve">We can </w:t>
      </w:r>
      <w:r w:rsidR="00434CE0" w:rsidRPr="000B485C">
        <w:rPr>
          <w:szCs w:val="22"/>
        </w:rPr>
        <w:t xml:space="preserve">make </w:t>
      </w:r>
      <w:r>
        <w:rPr>
          <w:szCs w:val="22"/>
        </w:rPr>
        <w:t>a similar</w:t>
      </w:r>
      <w:r w:rsidR="00434CE0" w:rsidRPr="000B485C">
        <w:rPr>
          <w:szCs w:val="22"/>
        </w:rPr>
        <w:t xml:space="preserve"> calculation for </w:t>
      </w:r>
      <w:r>
        <w:rPr>
          <w:szCs w:val="22"/>
        </w:rPr>
        <w:t xml:space="preserve">John’s </w:t>
      </w:r>
      <w:r w:rsidR="008D43E5">
        <w:rPr>
          <w:szCs w:val="22"/>
        </w:rPr>
        <w:t xml:space="preserve">45 year-old </w:t>
      </w:r>
      <w:r>
        <w:rPr>
          <w:szCs w:val="22"/>
        </w:rPr>
        <w:t>married brother, Tom,</w:t>
      </w:r>
      <w:r w:rsidR="00434CE0" w:rsidRPr="000B485C">
        <w:rPr>
          <w:szCs w:val="22"/>
        </w:rPr>
        <w:t xml:space="preserve"> who has an adjusted gross </w:t>
      </w:r>
      <w:r>
        <w:rPr>
          <w:szCs w:val="22"/>
        </w:rPr>
        <w:t>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of $1</w:t>
      </w:r>
      <w:r w:rsidR="009F31E2">
        <w:rPr>
          <w:szCs w:val="22"/>
        </w:rPr>
        <w:t>8</w:t>
      </w:r>
      <w:r w:rsidR="009D6B50">
        <w:rPr>
          <w:szCs w:val="22"/>
        </w:rPr>
        <w:t>7</w:t>
      </w:r>
      <w:r>
        <w:rPr>
          <w:szCs w:val="22"/>
        </w:rPr>
        <w:t>,000.</w:t>
      </w:r>
      <w:r w:rsidR="00297ACB">
        <w:rPr>
          <w:szCs w:val="22"/>
        </w:rPr>
        <w:t xml:space="preserve"> </w:t>
      </w:r>
      <w:r>
        <w:rPr>
          <w:szCs w:val="22"/>
        </w:rPr>
        <w:t>By substituting Tom’s AGI into the formula, we can see that he is eligible to make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contribution</w:t>
      </w:r>
      <w:r w:rsidR="00847A57">
        <w:rPr>
          <w:szCs w:val="22"/>
        </w:rPr>
        <w:t xml:space="preserve"> of $</w:t>
      </w:r>
      <w:r w:rsidR="00275068">
        <w:rPr>
          <w:szCs w:val="22"/>
        </w:rPr>
        <w:t>3,</w:t>
      </w:r>
      <w:r w:rsidR="009F31E2">
        <w:rPr>
          <w:szCs w:val="22"/>
        </w:rPr>
        <w:t>3</w:t>
      </w:r>
      <w:r w:rsidR="00275068">
        <w:rPr>
          <w:szCs w:val="22"/>
        </w:rPr>
        <w:t>00</w:t>
      </w:r>
      <w:r>
        <w:rPr>
          <w:szCs w:val="22"/>
        </w:rPr>
        <w:t>.</w:t>
      </w:r>
      <w:r w:rsidR="00297ACB">
        <w:rPr>
          <w:szCs w:val="22"/>
        </w:rPr>
        <w:t xml:space="preserve"> </w:t>
      </w:r>
      <w:r w:rsidR="00DF6960">
        <w:rPr>
          <w:szCs w:val="22"/>
        </w:rPr>
        <w:t>His reduction is $</w:t>
      </w:r>
      <w:r w:rsidR="00275068">
        <w:rPr>
          <w:szCs w:val="22"/>
        </w:rPr>
        <w:t>2,</w:t>
      </w:r>
      <w:r w:rsidR="009F31E2">
        <w:rPr>
          <w:szCs w:val="22"/>
        </w:rPr>
        <w:t>2</w:t>
      </w:r>
      <w:r w:rsidR="00275068">
        <w:rPr>
          <w:szCs w:val="22"/>
        </w:rPr>
        <w:t>00</w:t>
      </w:r>
      <w:r w:rsidR="008A7E45">
        <w:rPr>
          <w:szCs w:val="22"/>
        </w:rPr>
        <w:t>.</w:t>
      </w:r>
    </w:p>
    <w:tbl>
      <w:tblPr>
        <w:tblW w:w="0" w:type="auto"/>
        <w:jc w:val="center"/>
        <w:tblLook w:val="01E0" w:firstRow="1" w:lastRow="1" w:firstColumn="1" w:lastColumn="1" w:noHBand="0" w:noVBand="0"/>
      </w:tblPr>
      <w:tblGrid>
        <w:gridCol w:w="1710"/>
        <w:gridCol w:w="360"/>
        <w:gridCol w:w="3050"/>
        <w:gridCol w:w="440"/>
        <w:gridCol w:w="1100"/>
        <w:gridCol w:w="360"/>
        <w:gridCol w:w="1440"/>
      </w:tblGrid>
      <w:tr w:rsidR="00702E10" w:rsidRPr="006D389B" w14:paraId="02C4911C" w14:textId="77777777" w:rsidTr="006D389B">
        <w:trPr>
          <w:jc w:val="center"/>
        </w:trPr>
        <w:tc>
          <w:tcPr>
            <w:tcW w:w="1710" w:type="dxa"/>
          </w:tcPr>
          <w:p w14:paraId="17A309D5" w14:textId="77777777" w:rsidR="00702E10" w:rsidRPr="00A7259E" w:rsidRDefault="00702E10" w:rsidP="006D389B">
            <w:pPr>
              <w:pStyle w:val="wTableNormal"/>
              <w:jc w:val="center"/>
            </w:pPr>
            <w:r w:rsidRPr="00A7259E">
              <w:t>Contribution reduction</w:t>
            </w:r>
          </w:p>
        </w:tc>
        <w:tc>
          <w:tcPr>
            <w:tcW w:w="360" w:type="dxa"/>
          </w:tcPr>
          <w:p w14:paraId="64BCE427" w14:textId="77777777" w:rsidR="00702E10" w:rsidRPr="00A7259E" w:rsidRDefault="00702E10" w:rsidP="006D389B">
            <w:pPr>
              <w:pStyle w:val="wTableNormal"/>
              <w:jc w:val="center"/>
            </w:pPr>
            <w:r w:rsidRPr="00A7259E">
              <w:t>=</w:t>
            </w:r>
          </w:p>
        </w:tc>
        <w:tc>
          <w:tcPr>
            <w:tcW w:w="3050" w:type="dxa"/>
          </w:tcPr>
          <w:p w14:paraId="3D8999B7" w14:textId="77777777" w:rsidR="00702E10" w:rsidRPr="006D389B" w:rsidRDefault="00702E10" w:rsidP="006D389B">
            <w:pPr>
              <w:pStyle w:val="wTableNormal"/>
              <w:jc w:val="center"/>
              <w:rPr>
                <w:u w:val="single"/>
              </w:rPr>
            </w:pPr>
            <w:r w:rsidRPr="006D389B">
              <w:rPr>
                <w:u w:val="single"/>
              </w:rPr>
              <w:t>$1</w:t>
            </w:r>
            <w:r w:rsidR="009F31E2">
              <w:rPr>
                <w:u w:val="single"/>
              </w:rPr>
              <w:t>8</w:t>
            </w:r>
            <w:r w:rsidR="009D6B50">
              <w:rPr>
                <w:u w:val="single"/>
              </w:rPr>
              <w:t>7</w:t>
            </w:r>
            <w:r w:rsidRPr="006D389B">
              <w:rPr>
                <w:u w:val="single"/>
              </w:rPr>
              <w:t>,000 - $</w:t>
            </w:r>
            <w:r w:rsidR="008A7E45" w:rsidRPr="006D389B">
              <w:rPr>
                <w:u w:val="single"/>
              </w:rPr>
              <w:t>1</w:t>
            </w:r>
            <w:r w:rsidR="00F01E28">
              <w:rPr>
                <w:u w:val="single"/>
              </w:rPr>
              <w:t>8</w:t>
            </w:r>
            <w:r w:rsidR="009D6B50">
              <w:rPr>
                <w:u w:val="single"/>
              </w:rPr>
              <w:t>3</w:t>
            </w:r>
            <w:r w:rsidRPr="006D389B">
              <w:rPr>
                <w:u w:val="single"/>
              </w:rPr>
              <w:t>,000</w:t>
            </w:r>
          </w:p>
          <w:p w14:paraId="62DACA62" w14:textId="77777777" w:rsidR="00702E10" w:rsidRPr="00A7259E" w:rsidRDefault="008A7E45" w:rsidP="006D389B">
            <w:pPr>
              <w:pStyle w:val="wTableNormal"/>
              <w:jc w:val="center"/>
            </w:pPr>
            <w:r w:rsidRPr="00A7259E">
              <w:t>$10</w:t>
            </w:r>
            <w:r w:rsidR="00702E10" w:rsidRPr="00A7259E">
              <w:t>,000</w:t>
            </w:r>
          </w:p>
        </w:tc>
        <w:tc>
          <w:tcPr>
            <w:tcW w:w="440" w:type="dxa"/>
          </w:tcPr>
          <w:p w14:paraId="7E9307AF" w14:textId="77777777" w:rsidR="00702E10" w:rsidRPr="00A7259E" w:rsidRDefault="00702E10" w:rsidP="006D389B">
            <w:pPr>
              <w:pStyle w:val="wTableNormal"/>
              <w:jc w:val="center"/>
            </w:pPr>
            <w:r w:rsidRPr="00A7259E">
              <w:t>X</w:t>
            </w:r>
          </w:p>
        </w:tc>
        <w:tc>
          <w:tcPr>
            <w:tcW w:w="1100" w:type="dxa"/>
          </w:tcPr>
          <w:p w14:paraId="699ACEF7" w14:textId="77777777" w:rsidR="00702E10" w:rsidRPr="00A7259E" w:rsidRDefault="00DF6960" w:rsidP="009F31E2">
            <w:pPr>
              <w:pStyle w:val="wTableNormal"/>
              <w:jc w:val="center"/>
            </w:pPr>
            <w:r>
              <w:t>$</w:t>
            </w:r>
            <w:r w:rsidR="00275068">
              <w:t>5</w:t>
            </w:r>
            <w:r w:rsidR="00702E10" w:rsidRPr="00A7259E">
              <w:t>,</w:t>
            </w:r>
            <w:r w:rsidR="009F31E2">
              <w:t>5</w:t>
            </w:r>
            <w:r w:rsidR="00702E10" w:rsidRPr="00A7259E">
              <w:t>00</w:t>
            </w:r>
          </w:p>
        </w:tc>
        <w:tc>
          <w:tcPr>
            <w:tcW w:w="360" w:type="dxa"/>
          </w:tcPr>
          <w:p w14:paraId="7302C673" w14:textId="77777777" w:rsidR="00702E10" w:rsidRPr="00A7259E" w:rsidRDefault="00702E10" w:rsidP="006D389B">
            <w:pPr>
              <w:pStyle w:val="wTableNormal"/>
              <w:jc w:val="center"/>
            </w:pPr>
            <w:r w:rsidRPr="00A7259E">
              <w:t>=</w:t>
            </w:r>
          </w:p>
        </w:tc>
        <w:tc>
          <w:tcPr>
            <w:tcW w:w="1440" w:type="dxa"/>
          </w:tcPr>
          <w:p w14:paraId="4C84191F" w14:textId="77777777" w:rsidR="00702E10" w:rsidRPr="00A7259E" w:rsidRDefault="00702E10" w:rsidP="009F31E2">
            <w:pPr>
              <w:pStyle w:val="wTableNormal"/>
              <w:jc w:val="center"/>
            </w:pPr>
            <w:r w:rsidRPr="00A7259E">
              <w:t>$</w:t>
            </w:r>
            <w:r w:rsidR="00275068">
              <w:t>2</w:t>
            </w:r>
            <w:r w:rsidR="00847A57">
              <w:t>,</w:t>
            </w:r>
            <w:r w:rsidR="009F31E2">
              <w:t>2</w:t>
            </w:r>
            <w:r w:rsidR="00275068">
              <w:t>0</w:t>
            </w:r>
            <w:r w:rsidRPr="00A7259E">
              <w:t>0</w:t>
            </w:r>
          </w:p>
        </w:tc>
      </w:tr>
    </w:tbl>
    <w:p w14:paraId="49FF804A" w14:textId="77777777" w:rsidR="00434CE0" w:rsidRPr="000B485C" w:rsidRDefault="008A7E45" w:rsidP="00DC3545">
      <w:pPr>
        <w:spacing w:before="120"/>
        <w:rPr>
          <w:szCs w:val="22"/>
        </w:rPr>
      </w:pPr>
      <w:r>
        <w:rPr>
          <w:szCs w:val="22"/>
        </w:rPr>
        <w:t>If Tom chooses, he may make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contribution of the</w:t>
      </w:r>
      <w:r w:rsidR="00DF6960">
        <w:rPr>
          <w:szCs w:val="22"/>
        </w:rPr>
        <w:t xml:space="preserve"> </w:t>
      </w:r>
      <w:r w:rsidR="00847A57">
        <w:rPr>
          <w:szCs w:val="22"/>
        </w:rPr>
        <w:t>remaining</w:t>
      </w:r>
      <w:r w:rsidR="00DF6960">
        <w:rPr>
          <w:szCs w:val="22"/>
        </w:rPr>
        <w:t xml:space="preserve"> $</w:t>
      </w:r>
      <w:r w:rsidR="00275068">
        <w:rPr>
          <w:szCs w:val="22"/>
        </w:rPr>
        <w:t>2,</w:t>
      </w:r>
      <w:r w:rsidR="009F31E2">
        <w:rPr>
          <w:szCs w:val="22"/>
        </w:rPr>
        <w:t>2</w:t>
      </w:r>
      <w:r w:rsidR="00275068">
        <w:rPr>
          <w:szCs w:val="22"/>
        </w:rPr>
        <w:t>00</w:t>
      </w:r>
      <w:r>
        <w:rPr>
          <w:szCs w:val="22"/>
        </w:rPr>
        <w:t>.</w:t>
      </w:r>
      <w:r w:rsidR="00297ACB">
        <w:rPr>
          <w:szCs w:val="22"/>
        </w:rPr>
        <w:t xml:space="preserve"> </w:t>
      </w:r>
      <w:r>
        <w:rPr>
          <w:szCs w:val="22"/>
        </w:rPr>
        <w:t>If he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his employer’s qualified retirement plan, he will be unable to deduct the contributions.</w:t>
      </w:r>
      <w:r w:rsidR="00297ACB">
        <w:rPr>
          <w:szCs w:val="22"/>
        </w:rPr>
        <w:t xml:space="preserve"> </w:t>
      </w:r>
      <w:r>
        <w:rPr>
          <w:szCs w:val="22"/>
        </w:rPr>
        <w:t>However, if Tom is not an active participant, t</w:t>
      </w:r>
      <w:r w:rsidR="00DF6960">
        <w:rPr>
          <w:szCs w:val="22"/>
        </w:rPr>
        <w:t>he entire $</w:t>
      </w:r>
      <w:r w:rsidR="00275068">
        <w:rPr>
          <w:szCs w:val="22"/>
        </w:rPr>
        <w:t>2,</w:t>
      </w:r>
      <w:r w:rsidR="009F31E2">
        <w:rPr>
          <w:szCs w:val="22"/>
        </w:rPr>
        <w:t>2</w:t>
      </w:r>
      <w:r w:rsidR="00275068">
        <w:rPr>
          <w:szCs w:val="22"/>
        </w:rPr>
        <w:t>00</w:t>
      </w:r>
      <w:r>
        <w:rPr>
          <w:szCs w:val="22"/>
        </w:rPr>
        <w:t xml:space="preserve"> contribution </w:t>
      </w:r>
      <w:r w:rsidR="00847A57">
        <w:rPr>
          <w:szCs w:val="22"/>
        </w:rPr>
        <w:t xml:space="preserve">made to the traditional IRA </w:t>
      </w:r>
      <w:r>
        <w:rPr>
          <w:szCs w:val="22"/>
        </w:rPr>
        <w:t>will be deductible.</w:t>
      </w:r>
    </w:p>
    <w:p w14:paraId="69E97BA9" w14:textId="77777777" w:rsidR="00434CE0" w:rsidRDefault="00D714C9" w:rsidP="00825E0B">
      <w:pPr>
        <w:rPr>
          <w:szCs w:val="22"/>
        </w:rPr>
      </w:pPr>
      <w:r>
        <w:rPr>
          <w:szCs w:val="22"/>
        </w:rPr>
        <w:t xml:space="preserve">What </w:t>
      </w:r>
      <w:r w:rsidR="00434CE0" w:rsidRPr="000B485C">
        <w:rPr>
          <w:szCs w:val="22"/>
        </w:rPr>
        <w:t xml:space="preserve">the formula tells us </w:t>
      </w:r>
      <w:r>
        <w:rPr>
          <w:szCs w:val="22"/>
        </w:rPr>
        <w:t xml:space="preserve">is </w:t>
      </w:r>
      <w:r w:rsidR="00434CE0" w:rsidRPr="000B485C">
        <w:rPr>
          <w:szCs w:val="22"/>
        </w:rPr>
        <w:t>that single income tax filers can make a full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contribution if their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434CE0" w:rsidRPr="000B485C">
        <w:rPr>
          <w:szCs w:val="22"/>
        </w:rPr>
        <w:t xml:space="preserve"> is not in excess of $</w:t>
      </w:r>
      <w:r w:rsidR="00275068">
        <w:rPr>
          <w:szCs w:val="22"/>
        </w:rPr>
        <w:t>1</w:t>
      </w:r>
      <w:r w:rsidR="008D43E5">
        <w:rPr>
          <w:szCs w:val="22"/>
        </w:rPr>
        <w:t>1</w:t>
      </w:r>
      <w:r w:rsidR="009D6B50">
        <w:rPr>
          <w:szCs w:val="22"/>
        </w:rPr>
        <w:t>6</w:t>
      </w:r>
      <w:r w:rsidR="00434CE0" w:rsidRPr="000B485C">
        <w:rPr>
          <w:szCs w:val="22"/>
        </w:rPr>
        <w:t xml:space="preserve">,000, but the amount of </w:t>
      </w:r>
      <w:r w:rsidR="008D43E5">
        <w:rPr>
          <w:szCs w:val="22"/>
        </w:rPr>
        <w:t xml:space="preserve">maximum </w:t>
      </w:r>
      <w:r w:rsidR="00434CE0" w:rsidRPr="000B485C">
        <w:rPr>
          <w:szCs w:val="22"/>
        </w:rPr>
        <w:t xml:space="preserve">contribution is decreased for </w:t>
      </w:r>
      <w:r>
        <w:rPr>
          <w:szCs w:val="22"/>
        </w:rPr>
        <w:t xml:space="preserve">an </w:t>
      </w:r>
      <w:r w:rsidR="00F01E28">
        <w:rPr>
          <w:szCs w:val="22"/>
        </w:rPr>
        <w:t xml:space="preserve">unmarried </w:t>
      </w:r>
      <w:r>
        <w:rPr>
          <w:szCs w:val="22"/>
        </w:rPr>
        <w:t xml:space="preserve">individual with an </w:t>
      </w:r>
      <w:r w:rsidR="00434CE0" w:rsidRPr="000B485C">
        <w:rPr>
          <w:szCs w:val="22"/>
        </w:rPr>
        <w:t>adjusted gross income in excess of $</w:t>
      </w:r>
      <w:r w:rsidR="00275068">
        <w:rPr>
          <w:szCs w:val="22"/>
        </w:rPr>
        <w:t>1</w:t>
      </w:r>
      <w:r w:rsidR="008D43E5">
        <w:rPr>
          <w:szCs w:val="22"/>
        </w:rPr>
        <w:t>1</w:t>
      </w:r>
      <w:r w:rsidR="009D6B50">
        <w:rPr>
          <w:szCs w:val="22"/>
        </w:rPr>
        <w:t>6</w:t>
      </w:r>
      <w:r w:rsidR="00434CE0" w:rsidRPr="000B485C">
        <w:rPr>
          <w:szCs w:val="22"/>
        </w:rPr>
        <w:t>,000 and is eliminated at adjusted gross incomes of $1</w:t>
      </w:r>
      <w:r w:rsidR="009D6B50">
        <w:rPr>
          <w:szCs w:val="22"/>
        </w:rPr>
        <w:t>31</w:t>
      </w:r>
      <w:r w:rsidR="00434CE0" w:rsidRPr="000B485C">
        <w:rPr>
          <w:szCs w:val="22"/>
        </w:rPr>
        <w:t>,000 or more.</w:t>
      </w:r>
      <w:r w:rsidR="00297ACB">
        <w:rPr>
          <w:szCs w:val="22"/>
        </w:rPr>
        <w:t xml:space="preserve"> </w:t>
      </w:r>
      <w:r w:rsidR="00434CE0" w:rsidRPr="000B485C">
        <w:rPr>
          <w:szCs w:val="22"/>
        </w:rPr>
        <w:t>Similarly, joint filers can make a full Roth IRA contribution only if their AGI is $1</w:t>
      </w:r>
      <w:r w:rsidR="00F01E28">
        <w:rPr>
          <w:szCs w:val="22"/>
        </w:rPr>
        <w:t>8</w:t>
      </w:r>
      <w:r w:rsidR="009D6B50">
        <w:rPr>
          <w:szCs w:val="22"/>
        </w:rPr>
        <w:t>3</w:t>
      </w:r>
      <w:r w:rsidR="00434CE0" w:rsidRPr="000B485C">
        <w:rPr>
          <w:szCs w:val="22"/>
        </w:rPr>
        <w:t xml:space="preserve">,000 or less, and they become ineligible </w:t>
      </w:r>
      <w:r>
        <w:rPr>
          <w:szCs w:val="22"/>
        </w:rPr>
        <w:t xml:space="preserve">to make any Roth IRA contribution </w:t>
      </w:r>
      <w:r w:rsidR="00434CE0" w:rsidRPr="000B485C">
        <w:rPr>
          <w:szCs w:val="22"/>
        </w:rPr>
        <w:t>if their AGI is $1</w:t>
      </w:r>
      <w:r w:rsidR="00F01E28">
        <w:rPr>
          <w:szCs w:val="22"/>
        </w:rPr>
        <w:t>9</w:t>
      </w:r>
      <w:r w:rsidR="009D6B50">
        <w:rPr>
          <w:szCs w:val="22"/>
        </w:rPr>
        <w:t>3</w:t>
      </w:r>
      <w:r w:rsidR="00434CE0" w:rsidRPr="000B485C">
        <w:rPr>
          <w:szCs w:val="22"/>
        </w:rPr>
        <w:t>,000 or more.</w:t>
      </w:r>
    </w:p>
    <w:p w14:paraId="3D39FF00" w14:textId="77777777" w:rsidR="00662154" w:rsidRPr="000B485C" w:rsidRDefault="00662154" w:rsidP="00825E0B">
      <w:pPr>
        <w:rPr>
          <w:szCs w:val="22"/>
        </w:rPr>
      </w:pPr>
      <w:r>
        <w:rPr>
          <w:szCs w:val="22"/>
        </w:rPr>
        <w:t>Married individuals that choose to file separate income tax returns are ineligible to make any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contribution if their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is $10,000 or greater.</w:t>
      </w:r>
    </w:p>
    <w:p w14:paraId="74F87F75" w14:textId="77777777" w:rsidR="00434CE0" w:rsidRPr="000B485C" w:rsidRDefault="00434CE0" w:rsidP="00825E0B">
      <w:pPr>
        <w:rPr>
          <w:i/>
          <w:szCs w:val="22"/>
        </w:rPr>
      </w:pPr>
      <w:r w:rsidRPr="000B485C">
        <w:rPr>
          <w:szCs w:val="22"/>
        </w:rPr>
        <w:lastRenderedPageBreak/>
        <w:t xml:space="preserve">Assuming that </w:t>
      </w:r>
      <w:r w:rsidR="00662154">
        <w:rPr>
          <w:szCs w:val="22"/>
        </w:rPr>
        <w:t>the individual</w:t>
      </w:r>
      <w:r w:rsidRPr="000B485C">
        <w:rPr>
          <w:szCs w:val="22"/>
        </w:rPr>
        <w:t xml:space="preserve"> </w:t>
      </w:r>
      <w:r w:rsidR="00662154">
        <w:rPr>
          <w:szCs w:val="22"/>
        </w:rPr>
        <w:t>is not</w:t>
      </w:r>
      <w:r w:rsidRPr="000B485C">
        <w:rPr>
          <w:szCs w:val="22"/>
        </w:rPr>
        <w:t xml:space="preserve"> </w:t>
      </w:r>
      <w:r w:rsidR="00662154">
        <w:rPr>
          <w:szCs w:val="22"/>
        </w:rPr>
        <w:t>in</w:t>
      </w:r>
      <w:r w:rsidRPr="000B485C">
        <w:rPr>
          <w:szCs w:val="22"/>
        </w:rPr>
        <w:t>eligible to make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contribution because of his or her high income</w:t>
      </w:r>
      <w:r w:rsidR="00275068">
        <w:rPr>
          <w:szCs w:val="22"/>
        </w:rPr>
        <w:t>, and is not old enough to make a catch-up contribution</w:t>
      </w:r>
      <w:r w:rsidRPr="000B485C">
        <w:rPr>
          <w:szCs w:val="22"/>
        </w:rPr>
        <w:t xml:space="preserve">, the maximum </w:t>
      </w:r>
      <w:r w:rsidR="00275068">
        <w:rPr>
          <w:szCs w:val="22"/>
        </w:rPr>
        <w:t xml:space="preserve">Roth IRA </w:t>
      </w:r>
      <w:r w:rsidRPr="000B485C">
        <w:rPr>
          <w:szCs w:val="22"/>
        </w:rPr>
        <w:t xml:space="preserve">contribution </w:t>
      </w:r>
      <w:r w:rsidR="00662154">
        <w:rPr>
          <w:szCs w:val="22"/>
        </w:rPr>
        <w:t>he or she</w:t>
      </w:r>
      <w:r w:rsidRPr="000B485C">
        <w:rPr>
          <w:szCs w:val="22"/>
        </w:rPr>
        <w:t xml:space="preserve"> can make</w:t>
      </w:r>
      <w:r w:rsidR="00E87764">
        <w:rPr>
          <w:szCs w:val="22"/>
        </w:rPr>
        <w:t xml:space="preserve"> in </w:t>
      </w:r>
      <w:r w:rsidR="00275068">
        <w:rPr>
          <w:szCs w:val="22"/>
        </w:rPr>
        <w:t>20</w:t>
      </w:r>
      <w:r w:rsidR="0008681C">
        <w:rPr>
          <w:szCs w:val="22"/>
        </w:rPr>
        <w:t>1</w:t>
      </w:r>
      <w:r w:rsidR="009D6B50">
        <w:rPr>
          <w:szCs w:val="22"/>
        </w:rPr>
        <w:t>5</w:t>
      </w:r>
      <w:r w:rsidR="00275068">
        <w:rPr>
          <w:szCs w:val="22"/>
        </w:rPr>
        <w:t xml:space="preserve"> </w:t>
      </w:r>
      <w:r w:rsidR="00A5334A">
        <w:rPr>
          <w:szCs w:val="22"/>
        </w:rPr>
        <w:t xml:space="preserve">(other than a catch-up contribution) </w:t>
      </w:r>
      <w:r w:rsidR="00662154">
        <w:rPr>
          <w:szCs w:val="22"/>
        </w:rPr>
        <w:t>is the lesser of:</w:t>
      </w:r>
    </w:p>
    <w:p w14:paraId="7C3EB13F" w14:textId="77777777" w:rsidR="00662154" w:rsidRPr="00CD4472" w:rsidRDefault="00434CE0" w:rsidP="007A5E54">
      <w:pPr>
        <w:pStyle w:val="ListParagraph"/>
        <w:numPr>
          <w:ilvl w:val="0"/>
          <w:numId w:val="130"/>
        </w:numPr>
        <w:ind w:left="720"/>
      </w:pPr>
      <w:r w:rsidRPr="00CD4472">
        <w:t>$</w:t>
      </w:r>
      <w:r w:rsidR="00275068">
        <w:t>5</w:t>
      </w:r>
      <w:r w:rsidRPr="00CD4472">
        <w:t>,</w:t>
      </w:r>
      <w:r w:rsidR="009F31E2">
        <w:t>5</w:t>
      </w:r>
      <w:r w:rsidRPr="00CD4472">
        <w:t>00</w:t>
      </w:r>
      <w:r w:rsidR="008D43E5">
        <w:t>;</w:t>
      </w:r>
      <w:r w:rsidR="0042516E" w:rsidRPr="00CD4472">
        <w:t xml:space="preserve"> </w:t>
      </w:r>
      <w:r w:rsidR="00662154" w:rsidRPr="00CD4472">
        <w:t>or</w:t>
      </w:r>
    </w:p>
    <w:p w14:paraId="0C22C6EF" w14:textId="77777777" w:rsidR="00434CE0" w:rsidRPr="00CD4472" w:rsidRDefault="00434CE0" w:rsidP="007A5E54">
      <w:pPr>
        <w:pStyle w:val="ListParagraph"/>
        <w:numPr>
          <w:ilvl w:val="0"/>
          <w:numId w:val="130"/>
        </w:numPr>
        <w:ind w:left="720"/>
      </w:pPr>
      <w:r w:rsidRPr="00CD4472">
        <w:t>100% of compensation</w:t>
      </w:r>
      <w:r w:rsidR="00A5334A">
        <w:t>.</w:t>
      </w:r>
    </w:p>
    <w:p w14:paraId="2D367AD8" w14:textId="77777777" w:rsidR="00434CE0" w:rsidRPr="000B485C" w:rsidRDefault="00662154" w:rsidP="00825E0B">
      <w:pPr>
        <w:rPr>
          <w:szCs w:val="22"/>
        </w:rPr>
      </w:pPr>
      <w:r>
        <w:rPr>
          <w:szCs w:val="22"/>
        </w:rPr>
        <w:t xml:space="preserve">The </w:t>
      </w:r>
      <w:r w:rsidR="00DD3A95">
        <w:rPr>
          <w:szCs w:val="22"/>
        </w:rPr>
        <w:t xml:space="preserve">permissible maximum </w:t>
      </w:r>
      <w:r>
        <w:rPr>
          <w:szCs w:val="22"/>
        </w:rPr>
        <w:t>amount of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w:t>
      </w:r>
      <w:r w:rsidR="00AE4279">
        <w:rPr>
          <w:szCs w:val="22"/>
        </w:rPr>
        <w:t>contribution</w:t>
      </w:r>
      <w:r w:rsidR="00DD3A95">
        <w:rPr>
          <w:szCs w:val="22"/>
        </w:rPr>
        <w:t>,</w:t>
      </w:r>
      <w:r w:rsidR="00AE4279">
        <w:rPr>
          <w:szCs w:val="22"/>
        </w:rPr>
        <w:t xml:space="preserve"> </w:t>
      </w:r>
      <w:r>
        <w:rPr>
          <w:szCs w:val="22"/>
        </w:rPr>
        <w:t>thus determined</w:t>
      </w:r>
      <w:r w:rsidR="00DD3A95">
        <w:rPr>
          <w:szCs w:val="22"/>
        </w:rPr>
        <w:t>,</w:t>
      </w:r>
      <w:r>
        <w:rPr>
          <w:szCs w:val="22"/>
        </w:rPr>
        <w:t xml:space="preserve"> is r</w:t>
      </w:r>
      <w:r w:rsidR="00434CE0" w:rsidRPr="000B485C">
        <w:rPr>
          <w:szCs w:val="22"/>
        </w:rPr>
        <w:t xml:space="preserve">educed by </w:t>
      </w:r>
      <w:r>
        <w:rPr>
          <w:szCs w:val="22"/>
        </w:rPr>
        <w:t xml:space="preserve">the amount of </w:t>
      </w:r>
      <w:r w:rsidR="00434CE0" w:rsidRPr="000B485C">
        <w:rPr>
          <w:szCs w:val="22"/>
        </w:rPr>
        <w:t>any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contribution</w:t>
      </w:r>
      <w:r>
        <w:rPr>
          <w:szCs w:val="22"/>
        </w:rPr>
        <w:t xml:space="preserve"> made </w:t>
      </w:r>
      <w:r w:rsidR="00DD3A95">
        <w:rPr>
          <w:szCs w:val="22"/>
        </w:rPr>
        <w:t xml:space="preserve">by the individual </w:t>
      </w:r>
      <w:r>
        <w:rPr>
          <w:szCs w:val="22"/>
        </w:rPr>
        <w:t>for the same tax year.</w:t>
      </w:r>
      <w:r w:rsidR="00297ACB">
        <w:rPr>
          <w:szCs w:val="22"/>
        </w:rPr>
        <w:t xml:space="preserve"> </w:t>
      </w:r>
      <w:r w:rsidR="00DD2D11">
        <w:rPr>
          <w:szCs w:val="22"/>
        </w:rPr>
        <w:t>I</w:t>
      </w:r>
      <w:r w:rsidR="00434CE0" w:rsidRPr="000B485C">
        <w:rPr>
          <w:szCs w:val="22"/>
        </w:rPr>
        <w:t>t</w:t>
      </w:r>
      <w:r w:rsidR="00DD2D11">
        <w:rPr>
          <w:szCs w:val="22"/>
        </w:rPr>
        <w:t xml:space="preserve"> i</w:t>
      </w:r>
      <w:r w:rsidR="00434CE0" w:rsidRPr="000B485C">
        <w:rPr>
          <w:szCs w:val="22"/>
        </w:rPr>
        <w:t xml:space="preserve">s important to understand that the contributions made to a Roth IRA and a traditional IRA </w:t>
      </w:r>
      <w:proofErr w:type="gramStart"/>
      <w:r w:rsidR="00434CE0" w:rsidRPr="000B485C">
        <w:rPr>
          <w:szCs w:val="22"/>
        </w:rPr>
        <w:t>are considered to be</w:t>
      </w:r>
      <w:proofErr w:type="gramEnd"/>
      <w:r w:rsidR="00434CE0" w:rsidRPr="000B485C">
        <w:rPr>
          <w:szCs w:val="22"/>
        </w:rPr>
        <w:t xml:space="preserve"> the same for purposes of the maximum</w:t>
      </w:r>
      <w:r w:rsidR="00DD2D11">
        <w:rPr>
          <w:szCs w:val="22"/>
        </w:rPr>
        <w:t xml:space="preserve"> contribution permitted in any tax year</w:t>
      </w:r>
      <w:r w:rsidR="00434CE0" w:rsidRPr="000B485C">
        <w:rPr>
          <w:szCs w:val="22"/>
        </w:rPr>
        <w:t>.</w:t>
      </w:r>
      <w:r w:rsidR="00297ACB">
        <w:rPr>
          <w:szCs w:val="22"/>
        </w:rPr>
        <w:t xml:space="preserve"> </w:t>
      </w:r>
      <w:r w:rsidR="00434CE0" w:rsidRPr="000B485C">
        <w:rPr>
          <w:szCs w:val="22"/>
        </w:rPr>
        <w:t xml:space="preserve">In other words, any contribution </w:t>
      </w:r>
      <w:r w:rsidR="00DD2D11">
        <w:rPr>
          <w:szCs w:val="22"/>
        </w:rPr>
        <w:t>made by an individual</w:t>
      </w:r>
      <w:r w:rsidR="00434CE0" w:rsidRPr="000B485C">
        <w:rPr>
          <w:szCs w:val="22"/>
        </w:rPr>
        <w:t xml:space="preserve"> to one will reduce the amount of contribution that can be made to the other.</w:t>
      </w:r>
    </w:p>
    <w:p w14:paraId="1E1376E7" w14:textId="77777777" w:rsidR="00434CE0" w:rsidRPr="000B485C" w:rsidRDefault="005637EA" w:rsidP="00825E0B">
      <w:pPr>
        <w:rPr>
          <w:szCs w:val="22"/>
        </w:rPr>
      </w:pPr>
      <w:r>
        <w:rPr>
          <w:szCs w:val="22"/>
        </w:rPr>
        <w:t>W</w:t>
      </w:r>
      <w:r w:rsidR="00434CE0" w:rsidRPr="000B485C">
        <w:rPr>
          <w:szCs w:val="22"/>
        </w:rPr>
        <w:t xml:space="preserve">e </w:t>
      </w:r>
      <w:r>
        <w:rPr>
          <w:szCs w:val="22"/>
        </w:rPr>
        <w:t xml:space="preserve">noted earlier in our discussion of traditional IRAs </w:t>
      </w:r>
      <w:r w:rsidR="00434CE0" w:rsidRPr="000B485C">
        <w:rPr>
          <w:szCs w:val="22"/>
        </w:rPr>
        <w:t xml:space="preserve">that no further contributions can be made once </w:t>
      </w:r>
      <w:r>
        <w:rPr>
          <w:szCs w:val="22"/>
        </w:rPr>
        <w:t>t</w:t>
      </w:r>
      <w:r w:rsidR="00434CE0" w:rsidRPr="000B485C">
        <w:rPr>
          <w:szCs w:val="22"/>
        </w:rPr>
        <w:t>he</w:t>
      </w:r>
      <w:r>
        <w:rPr>
          <w:szCs w:val="22"/>
        </w:rPr>
        <w:t xml:space="preserve"> individual</w:t>
      </w:r>
      <w:r w:rsidR="00434CE0" w:rsidRPr="000B485C">
        <w:rPr>
          <w:szCs w:val="22"/>
        </w:rPr>
        <w:t xml:space="preserve"> reaches age</w:t>
      </w:r>
      <w:r>
        <w:rPr>
          <w:szCs w:val="22"/>
        </w:rPr>
        <w:t xml:space="preserve"> </w:t>
      </w:r>
      <w:r w:rsidR="00434CE0" w:rsidRPr="000B485C">
        <w:rPr>
          <w:szCs w:val="22"/>
        </w:rPr>
        <w:t>70</w:t>
      </w:r>
      <w:r>
        <w:rPr>
          <w:szCs w:val="22"/>
        </w:rPr>
        <w:t>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w:t>
      </w:r>
      <w:r w:rsidR="00297ACB">
        <w:rPr>
          <w:szCs w:val="22"/>
        </w:rPr>
        <w:t xml:space="preserve"> </w:t>
      </w:r>
      <w:r w:rsidR="00434CE0" w:rsidRPr="000B485C">
        <w:rPr>
          <w:szCs w:val="22"/>
        </w:rPr>
        <w:t xml:space="preserve">In fact, </w:t>
      </w:r>
      <w:r>
        <w:rPr>
          <w:szCs w:val="22"/>
        </w:rPr>
        <w:t xml:space="preserve">at age 70½ </w:t>
      </w:r>
      <w:r w:rsidR="00434CE0" w:rsidRPr="000B485C">
        <w:rPr>
          <w:szCs w:val="22"/>
        </w:rPr>
        <w:t xml:space="preserve">the </w:t>
      </w:r>
      <w:r>
        <w:rPr>
          <w:szCs w:val="22"/>
        </w:rPr>
        <w:t>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owner</w:t>
      </w:r>
      <w:r w:rsidR="00434CE0" w:rsidRPr="000B485C">
        <w:rPr>
          <w:szCs w:val="22"/>
        </w:rPr>
        <w:t xml:space="preserve"> must begin taking at least a minim</w:t>
      </w:r>
      <w:r w:rsidR="00DD3A95">
        <w:rPr>
          <w:szCs w:val="22"/>
        </w:rPr>
        <w:t>um distribution from these not-yet</w:t>
      </w:r>
      <w:r w:rsidR="00434CE0" w:rsidRPr="000B485C">
        <w:rPr>
          <w:szCs w:val="22"/>
        </w:rPr>
        <w:t>-taxed</w:t>
      </w:r>
      <w:r w:rsidR="00F01E28" w:rsidRPr="00F01E28">
        <w:t xml:space="preserve"> </w:t>
      </w:r>
      <w:r w:rsidR="00F01E28">
        <w:t>traditional IRA</w:t>
      </w:r>
      <w:r w:rsidR="00434CE0" w:rsidRPr="000B485C">
        <w:rPr>
          <w:szCs w:val="22"/>
        </w:rPr>
        <w:t xml:space="preserve"> funds.</w:t>
      </w:r>
    </w:p>
    <w:p w14:paraId="6BC54BDD" w14:textId="77777777" w:rsidR="00434CE0" w:rsidRPr="000B485C" w:rsidRDefault="00434CE0" w:rsidP="00825E0B">
      <w:pPr>
        <w:rPr>
          <w:szCs w:val="22"/>
        </w:rPr>
      </w:pPr>
      <w:r w:rsidRPr="000B485C">
        <w:rPr>
          <w:szCs w:val="22"/>
        </w:rPr>
        <w:t xml:space="preserve">Unlike </w:t>
      </w:r>
      <w:r w:rsidR="0072572A">
        <w:rPr>
          <w:szCs w:val="22"/>
        </w:rPr>
        <w:t xml:space="preserve">the situation that prevails with respect to </w:t>
      </w:r>
      <w:r w:rsidRPr="000B485C">
        <w:rPr>
          <w:szCs w:val="22"/>
        </w:rPr>
        <w:t xml:space="preserve">traditional IRAs, </w:t>
      </w:r>
      <w:r w:rsidR="00A5334A">
        <w:rPr>
          <w:szCs w:val="22"/>
        </w:rPr>
        <w:t>a</w:t>
      </w:r>
      <w:r w:rsidRPr="000B485C">
        <w:rPr>
          <w:szCs w:val="22"/>
        </w:rPr>
        <w:t xml:space="preserve"> </w:t>
      </w:r>
      <w:r w:rsidR="0072572A">
        <w:rPr>
          <w:szCs w:val="22"/>
        </w:rPr>
        <w:t>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72572A">
        <w:rPr>
          <w:szCs w:val="22"/>
        </w:rPr>
        <w:t xml:space="preserve"> owner</w:t>
      </w:r>
      <w:r w:rsidRPr="000B485C">
        <w:rPr>
          <w:szCs w:val="22"/>
        </w:rPr>
        <w:t xml:space="preserve"> can continue to make Roth IRA contributions for as long as he or she lives</w:t>
      </w:r>
      <w:r w:rsidR="00C45708">
        <w:rPr>
          <w:szCs w:val="22"/>
        </w:rPr>
        <w:t xml:space="preserve"> and continues to be eligible by having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sidRPr="000B485C">
        <w:rPr>
          <w:szCs w:val="22"/>
        </w:rPr>
        <w:t>.</w:t>
      </w:r>
      <w:r w:rsidR="00297ACB">
        <w:rPr>
          <w:szCs w:val="22"/>
        </w:rPr>
        <w:t xml:space="preserve"> </w:t>
      </w:r>
      <w:r w:rsidRPr="000B485C">
        <w:rPr>
          <w:szCs w:val="22"/>
        </w:rPr>
        <w:t>Since taxes have been paid on the contributions, there is also no need to begin taking required minimum 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sidRPr="000B485C">
        <w:rPr>
          <w:szCs w:val="22"/>
        </w:rPr>
        <w:t xml:space="preserve"> from th</w:t>
      </w:r>
      <w:r w:rsidR="0072572A">
        <w:rPr>
          <w:szCs w:val="22"/>
        </w:rPr>
        <w:t>e</w:t>
      </w:r>
      <w:r w:rsidRPr="000B485C">
        <w:rPr>
          <w:szCs w:val="22"/>
        </w:rPr>
        <w:t xml:space="preserve"> Roth IRA</w:t>
      </w:r>
      <w:r w:rsidR="0072572A">
        <w:rPr>
          <w:szCs w:val="22"/>
        </w:rPr>
        <w:t xml:space="preserve"> </w:t>
      </w:r>
      <w:r w:rsidRPr="000B485C">
        <w:rPr>
          <w:szCs w:val="22"/>
        </w:rPr>
        <w:t>at</w:t>
      </w:r>
      <w:r w:rsidR="0072572A">
        <w:rPr>
          <w:szCs w:val="22"/>
        </w:rPr>
        <w:t xml:space="preserve"> any</w:t>
      </w:r>
      <w:r w:rsidRPr="000B485C">
        <w:rPr>
          <w:szCs w:val="22"/>
        </w:rPr>
        <w:t xml:space="preserve"> age</w:t>
      </w:r>
      <w:r w:rsidR="00A5334A">
        <w:rPr>
          <w:szCs w:val="22"/>
        </w:rPr>
        <w:t xml:space="preserve"> during the owner’s lifetime</w:t>
      </w:r>
      <w:r w:rsidRPr="000B485C">
        <w:rPr>
          <w:szCs w:val="22"/>
        </w:rPr>
        <w:t>.</w:t>
      </w:r>
    </w:p>
    <w:p w14:paraId="0AFC5639" w14:textId="77777777" w:rsidR="0072572A" w:rsidRPr="00512570" w:rsidRDefault="0072572A" w:rsidP="009266CF">
      <w:pPr>
        <w:pStyle w:val="Heading2"/>
      </w:pPr>
      <w:bookmarkStart w:id="82" w:name="_Toc48025261"/>
      <w:bookmarkStart w:id="83" w:name="_Toc404357178"/>
      <w:r w:rsidRPr="00512570">
        <w:t>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rsidRPr="00512570">
        <w:t xml:space="preserve"> Tax Considerations</w:t>
      </w:r>
      <w:bookmarkEnd w:id="82"/>
      <w:bookmarkEnd w:id="83"/>
    </w:p>
    <w:p w14:paraId="0D8482C8" w14:textId="77777777" w:rsidR="00434CE0" w:rsidRPr="000B485C" w:rsidRDefault="00434CE0" w:rsidP="00825E0B">
      <w:pPr>
        <w:rPr>
          <w:szCs w:val="22"/>
        </w:rPr>
      </w:pPr>
      <w:r w:rsidRPr="000B485C">
        <w:rPr>
          <w:szCs w:val="22"/>
        </w:rPr>
        <w:t>As we know, the tax treatment given to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Pr="000B485C">
        <w:rPr>
          <w:szCs w:val="22"/>
        </w:rPr>
        <w:t xml:space="preserve"> is also quite different from that given to traditional IRAs.</w:t>
      </w:r>
      <w:r w:rsidR="00297ACB">
        <w:rPr>
          <w:szCs w:val="22"/>
        </w:rPr>
        <w:t xml:space="preserve"> </w:t>
      </w:r>
      <w:r w:rsidR="002A1F93">
        <w:rPr>
          <w:szCs w:val="22"/>
        </w:rPr>
        <w:t>While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2A1F93">
        <w:rPr>
          <w:szCs w:val="22"/>
        </w:rPr>
        <w:t xml:space="preserve"> contributions may be tax deductible, depending on whether the individual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sidR="002A1F93">
        <w:rPr>
          <w:szCs w:val="22"/>
        </w:rPr>
        <w:t xml:space="preserve"> in an employer-sponsored plan and</w:t>
      </w:r>
      <w:r w:rsidR="00847A57">
        <w:rPr>
          <w:szCs w:val="22"/>
        </w:rPr>
        <w:t>, if so, on</w:t>
      </w:r>
      <w:r w:rsidR="002A1F93">
        <w:rPr>
          <w:szCs w:val="22"/>
        </w:rPr>
        <w:t xml:space="preserve"> </w:t>
      </w:r>
      <w:r w:rsidR="009D6B50">
        <w:rPr>
          <w:szCs w:val="22"/>
        </w:rPr>
        <w:t xml:space="preserve">the amount of </w:t>
      </w:r>
      <w:r w:rsidR="002A1F93">
        <w:rPr>
          <w:szCs w:val="22"/>
        </w:rPr>
        <w:t>his or her AGI, n</w:t>
      </w:r>
      <w:r w:rsidRPr="000B485C">
        <w:rPr>
          <w:szCs w:val="22"/>
        </w:rPr>
        <w:t>o part of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contribution is income tax deductible.</w:t>
      </w:r>
      <w:r w:rsidR="00297ACB">
        <w:rPr>
          <w:szCs w:val="22"/>
        </w:rPr>
        <w:t xml:space="preserve"> </w:t>
      </w:r>
      <w:r w:rsidRPr="000B485C">
        <w:rPr>
          <w:szCs w:val="22"/>
        </w:rPr>
        <w:t xml:space="preserve">All </w:t>
      </w:r>
      <w:r w:rsidR="002A1F93">
        <w:rPr>
          <w:szCs w:val="22"/>
        </w:rPr>
        <w:t>Roth IRA</w:t>
      </w:r>
      <w:r w:rsidRPr="000B485C">
        <w:rPr>
          <w:szCs w:val="22"/>
        </w:rPr>
        <w:t xml:space="preserve"> contributions are made with after-tax dollars.</w:t>
      </w:r>
    </w:p>
    <w:p w14:paraId="2F99DD5E" w14:textId="77777777" w:rsidR="00434CE0" w:rsidRPr="000B485C" w:rsidRDefault="00434CE0" w:rsidP="00825E0B">
      <w:pPr>
        <w:rPr>
          <w:szCs w:val="22"/>
        </w:rPr>
      </w:pPr>
      <w:r w:rsidRPr="000B485C">
        <w:rPr>
          <w:szCs w:val="22"/>
        </w:rPr>
        <w:t>Although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contributions are not deductible, the contributions accumulate inside </w:t>
      </w:r>
      <w:r w:rsidR="000F56BF">
        <w:rPr>
          <w:szCs w:val="22"/>
        </w:rPr>
        <w:t>a</w:t>
      </w:r>
      <w:r w:rsidRPr="000B485C">
        <w:rPr>
          <w:szCs w:val="22"/>
        </w:rPr>
        <w:t xml:space="preserve"> Roth IRA on a tax-deferred basis</w:t>
      </w:r>
      <w:r w:rsidR="002A1F93">
        <w:rPr>
          <w:szCs w:val="22"/>
        </w:rPr>
        <w:t>—just as they do in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w:t>
      </w:r>
      <w:r w:rsidR="002A1F93">
        <w:rPr>
          <w:szCs w:val="22"/>
        </w:rPr>
        <w:t>And, we have already seen that</w:t>
      </w:r>
      <w:r w:rsidRPr="000B485C">
        <w:rPr>
          <w:szCs w:val="22"/>
        </w:rPr>
        <w:t xml:space="preserve"> tax defer</w:t>
      </w:r>
      <w:r w:rsidR="002A1F93">
        <w:rPr>
          <w:szCs w:val="22"/>
        </w:rPr>
        <w:t>ral</w:t>
      </w:r>
      <w:r w:rsidRPr="000B485C">
        <w:rPr>
          <w:szCs w:val="22"/>
        </w:rPr>
        <w:t xml:space="preserve"> can make a big difference in </w:t>
      </w:r>
      <w:r w:rsidR="002A1F93">
        <w:rPr>
          <w:szCs w:val="22"/>
        </w:rPr>
        <w:t>accumulation</w:t>
      </w:r>
      <w:r w:rsidRPr="000B485C">
        <w:rPr>
          <w:szCs w:val="22"/>
        </w:rPr>
        <w:t>s.</w:t>
      </w:r>
      <w:r w:rsidR="00297ACB">
        <w:rPr>
          <w:szCs w:val="22"/>
        </w:rPr>
        <w:t xml:space="preserve"> </w:t>
      </w:r>
      <w:r w:rsidR="000F56BF">
        <w:rPr>
          <w:szCs w:val="22"/>
        </w:rPr>
        <w:t>A</w:t>
      </w:r>
      <w:r w:rsidRPr="000B485C">
        <w:rPr>
          <w:szCs w:val="22"/>
        </w:rPr>
        <w:t xml:space="preserve"> Roth IRA provides </w:t>
      </w:r>
      <w:r w:rsidR="002A1F93">
        <w:rPr>
          <w:szCs w:val="22"/>
        </w:rPr>
        <w:t>an additional tax advantage, however:</w:t>
      </w:r>
      <w:r w:rsidRPr="000B485C">
        <w:rPr>
          <w:szCs w:val="22"/>
        </w:rPr>
        <w:t xml:space="preserve"> </w:t>
      </w:r>
      <w:r w:rsidR="002A1F93">
        <w:rPr>
          <w:szCs w:val="22"/>
        </w:rPr>
        <w:t>p</w:t>
      </w:r>
      <w:r w:rsidRPr="000B485C">
        <w:rPr>
          <w:szCs w:val="22"/>
        </w:rPr>
        <w:t>ossible tax-free distributions</w:t>
      </w:r>
      <w:r w:rsidR="000F56BF">
        <w:rPr>
          <w:szCs w:val="22"/>
        </w:rPr>
        <w:t xml:space="preserve"> of gain</w:t>
      </w:r>
      <w:r w:rsidR="002A1F93">
        <w:rPr>
          <w:szCs w:val="22"/>
        </w:rPr>
        <w:t>.</w:t>
      </w:r>
      <w:r w:rsidR="00297ACB">
        <w:rPr>
          <w:szCs w:val="22"/>
        </w:rPr>
        <w:t xml:space="preserve"> </w:t>
      </w:r>
      <w:r w:rsidR="002A1F93">
        <w:rPr>
          <w:szCs w:val="22"/>
        </w:rPr>
        <w:t>Before these Roth IRA distributions</w:t>
      </w:r>
      <w:r w:rsidRPr="000B485C">
        <w:rPr>
          <w:szCs w:val="22"/>
        </w:rPr>
        <w:t xml:space="preserve"> are</w:t>
      </w:r>
      <w:r w:rsidR="009D6B50">
        <w:rPr>
          <w:szCs w:val="22"/>
        </w:rPr>
        <w:t xml:space="preserve"> fully</w:t>
      </w:r>
      <w:r w:rsidRPr="000B485C">
        <w:rPr>
          <w:szCs w:val="22"/>
        </w:rPr>
        <w:t xml:space="preserve"> tax free, however, they must constitute </w:t>
      </w:r>
      <w:r w:rsidR="00297ACB">
        <w:rPr>
          <w:szCs w:val="22"/>
        </w:rPr>
        <w:t>“</w:t>
      </w:r>
      <w:r w:rsidRPr="000B485C">
        <w:rPr>
          <w:szCs w:val="22"/>
        </w:rPr>
        <w:t>qualified distributions</w:t>
      </w:r>
      <w:r w:rsidR="002A1F93">
        <w:rPr>
          <w:szCs w:val="22"/>
        </w:rPr>
        <w:t>.</w:t>
      </w:r>
      <w:r w:rsidR="00297ACB">
        <w:rPr>
          <w:szCs w:val="22"/>
        </w:rPr>
        <w:t>”</w:t>
      </w:r>
    </w:p>
    <w:p w14:paraId="3CCE2728" w14:textId="77777777" w:rsidR="00DC3545" w:rsidRDefault="00DC3545" w:rsidP="00DC3545">
      <w:pPr>
        <w:pStyle w:val="Heading3"/>
      </w:pPr>
      <w:bookmarkStart w:id="84" w:name="_Toc404357179"/>
      <w:r>
        <w:t>Qualified Distributions Tax-Free</w:t>
      </w:r>
      <w:bookmarkEnd w:id="84"/>
    </w:p>
    <w:p w14:paraId="4BC0F25C" w14:textId="77777777" w:rsidR="00434CE0" w:rsidRDefault="002A1F93" w:rsidP="00825E0B">
      <w:pPr>
        <w:rPr>
          <w:szCs w:val="22"/>
        </w:rPr>
      </w:pPr>
      <w:r>
        <w:rPr>
          <w:szCs w:val="22"/>
        </w:rPr>
        <w:t>A</w:t>
      </w:r>
      <w:r w:rsidR="00434CE0" w:rsidRPr="000B485C">
        <w:rPr>
          <w:szCs w:val="22"/>
        </w:rPr>
        <w:t xml:space="preserve"> qualified distribution</w:t>
      </w:r>
      <w:r w:rsidR="00A95039">
        <w:rPr>
          <w:szCs w:val="22"/>
        </w:rPr>
        <w:fldChar w:fldCharType="begin"/>
      </w:r>
      <w:r w:rsidR="00293611">
        <w:instrText xml:space="preserve"> XE "</w:instrText>
      </w:r>
      <w:r w:rsidR="00293611" w:rsidRPr="00CD56BD">
        <w:rPr>
          <w:szCs w:val="22"/>
        </w:rPr>
        <w:instrText>qualified distribution</w:instrText>
      </w:r>
      <w:r w:rsidR="00293611">
        <w:instrText xml:space="preserve">" </w:instrText>
      </w:r>
      <w:r w:rsidR="00A95039">
        <w:rPr>
          <w:szCs w:val="22"/>
        </w:rPr>
        <w:fldChar w:fldCharType="end"/>
      </w:r>
      <w:r w:rsidR="00434CE0" w:rsidRPr="000B485C">
        <w:rPr>
          <w:szCs w:val="22"/>
        </w:rPr>
        <w:t xml:space="preserve"> </w:t>
      </w:r>
      <w:r>
        <w:rPr>
          <w:szCs w:val="22"/>
        </w:rPr>
        <w:t>from a Roth IRA</w:t>
      </w:r>
      <w:r w:rsidR="000F56BF">
        <w:t>—a distribution that is entirely tax free—</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is</w:t>
      </w:r>
      <w:r>
        <w:rPr>
          <w:szCs w:val="22"/>
        </w:rPr>
        <w:t xml:space="preserve"> one that is made </w:t>
      </w:r>
      <w:r w:rsidR="009D6B50">
        <w:rPr>
          <w:szCs w:val="22"/>
        </w:rPr>
        <w:t>after the five-taxable year period beginning with the first</w:t>
      </w:r>
      <w:r w:rsidR="008325D4">
        <w:rPr>
          <w:szCs w:val="22"/>
        </w:rPr>
        <w:t xml:space="preserve"> </w:t>
      </w:r>
      <w:r w:rsidR="009D6B50">
        <w:rPr>
          <w:szCs w:val="22"/>
        </w:rPr>
        <w:t xml:space="preserve">taxable year for which the individual made a contribution to a </w:t>
      </w:r>
      <w:r>
        <w:rPr>
          <w:szCs w:val="22"/>
        </w:rPr>
        <w:t>Roth IRA and:</w:t>
      </w:r>
    </w:p>
    <w:p w14:paraId="441EA28A" w14:textId="77777777" w:rsidR="001E018B" w:rsidRPr="00CD4472" w:rsidRDefault="00A5334A" w:rsidP="007A5E54">
      <w:pPr>
        <w:pStyle w:val="ListParagraph"/>
        <w:numPr>
          <w:ilvl w:val="0"/>
          <w:numId w:val="131"/>
        </w:numPr>
        <w:ind w:left="720"/>
      </w:pPr>
      <w:r w:rsidRPr="00CD4472">
        <w:t xml:space="preserve">The </w:t>
      </w:r>
      <w:r w:rsidR="00434CE0" w:rsidRPr="00CD4472">
        <w:t>individual is age 59 1/2 or older</w:t>
      </w:r>
      <w:r>
        <w:t>;</w:t>
      </w:r>
    </w:p>
    <w:p w14:paraId="664E7048" w14:textId="77777777" w:rsidR="001E018B" w:rsidRPr="00CD4472" w:rsidRDefault="00A5334A" w:rsidP="007A5E54">
      <w:pPr>
        <w:pStyle w:val="ListParagraph"/>
        <w:numPr>
          <w:ilvl w:val="0"/>
          <w:numId w:val="131"/>
        </w:numPr>
        <w:ind w:left="720"/>
      </w:pPr>
      <w:r w:rsidRPr="00CD4472">
        <w:t>The distribution</w:t>
      </w:r>
      <w:r w:rsidR="00434CE0" w:rsidRPr="00CD4472">
        <w:t xml:space="preserve"> is a qualified first-time homebuyer distribution</w:t>
      </w:r>
      <w:r>
        <w:t>;</w:t>
      </w:r>
    </w:p>
    <w:p w14:paraId="6A36666D" w14:textId="77777777" w:rsidR="00434CE0" w:rsidRPr="00CD4472" w:rsidRDefault="00A5334A" w:rsidP="007A5E54">
      <w:pPr>
        <w:pStyle w:val="ListParagraph"/>
        <w:numPr>
          <w:ilvl w:val="0"/>
          <w:numId w:val="131"/>
        </w:numPr>
        <w:ind w:left="720"/>
      </w:pPr>
      <w:r w:rsidRPr="00CD4472">
        <w:t>Th</w:t>
      </w:r>
      <w:r w:rsidR="002A1F93" w:rsidRPr="00CD4472">
        <w:t xml:space="preserve">e </w:t>
      </w:r>
      <w:r w:rsidR="00434CE0" w:rsidRPr="00CD4472">
        <w:t>individual is disabled</w:t>
      </w:r>
      <w:r>
        <w:t>;</w:t>
      </w:r>
      <w:r w:rsidR="0042516E" w:rsidRPr="00CD4472">
        <w:t xml:space="preserve"> </w:t>
      </w:r>
      <w:r w:rsidR="00434CE0" w:rsidRPr="00CD4472">
        <w:t>or</w:t>
      </w:r>
    </w:p>
    <w:p w14:paraId="44044F7F" w14:textId="77777777" w:rsidR="00434CE0" w:rsidRPr="00CD4472" w:rsidRDefault="00A5334A" w:rsidP="007A5E54">
      <w:pPr>
        <w:pStyle w:val="ListParagraph"/>
        <w:numPr>
          <w:ilvl w:val="0"/>
          <w:numId w:val="131"/>
        </w:numPr>
        <w:ind w:left="720"/>
      </w:pPr>
      <w:r w:rsidRPr="00CD4472">
        <w:t>The distribution</w:t>
      </w:r>
      <w:r w:rsidR="00434CE0" w:rsidRPr="00CD4472">
        <w:t xml:space="preserve"> is made to a beneficiary on or after the individual’s death</w:t>
      </w:r>
      <w:r>
        <w:t>.</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p>
    <w:p w14:paraId="746A8430" w14:textId="77777777" w:rsidR="00434CE0" w:rsidRPr="000B485C" w:rsidRDefault="00434CE0" w:rsidP="00825E0B">
      <w:pPr>
        <w:rPr>
          <w:szCs w:val="22"/>
        </w:rPr>
      </w:pPr>
      <w:r w:rsidRPr="000B485C">
        <w:rPr>
          <w:szCs w:val="22"/>
        </w:rPr>
        <w:t>As long as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has been in force for </w:t>
      </w:r>
      <w:r w:rsidR="008325D4">
        <w:rPr>
          <w:szCs w:val="22"/>
        </w:rPr>
        <w:t xml:space="preserve">the required period, </w:t>
      </w:r>
      <w:r w:rsidRPr="000B485C">
        <w:rPr>
          <w:szCs w:val="22"/>
        </w:rPr>
        <w:t xml:space="preserve">a distribution </w:t>
      </w:r>
      <w:r w:rsidR="00F85056">
        <w:rPr>
          <w:szCs w:val="22"/>
        </w:rPr>
        <w:t xml:space="preserve">from it that </w:t>
      </w:r>
      <w:r w:rsidRPr="000B485C">
        <w:rPr>
          <w:szCs w:val="22"/>
        </w:rPr>
        <w:t>meet</w:t>
      </w:r>
      <w:r w:rsidR="00F85056">
        <w:rPr>
          <w:szCs w:val="22"/>
        </w:rPr>
        <w:t>s</w:t>
      </w:r>
      <w:r w:rsidRPr="000B485C">
        <w:rPr>
          <w:szCs w:val="22"/>
        </w:rPr>
        <w:t xml:space="preserve"> one of </w:t>
      </w:r>
      <w:r w:rsidR="00BF7F77">
        <w:rPr>
          <w:szCs w:val="22"/>
        </w:rPr>
        <w:t>the four</w:t>
      </w:r>
      <w:r w:rsidRPr="000B485C">
        <w:rPr>
          <w:szCs w:val="22"/>
        </w:rPr>
        <w:t xml:space="preserve"> tests will be </w:t>
      </w:r>
      <w:r w:rsidR="00F85056">
        <w:rPr>
          <w:szCs w:val="22"/>
        </w:rPr>
        <w:t xml:space="preserve">entirely </w:t>
      </w:r>
      <w:r w:rsidRPr="000B485C">
        <w:rPr>
          <w:szCs w:val="22"/>
        </w:rPr>
        <w:t>income tax free.</w:t>
      </w:r>
    </w:p>
    <w:p w14:paraId="355E2976" w14:textId="77777777" w:rsidR="00434CE0" w:rsidRPr="000B485C" w:rsidRDefault="00434CE0" w:rsidP="0072197B">
      <w:pPr>
        <w:rPr>
          <w:i/>
          <w:szCs w:val="22"/>
        </w:rPr>
      </w:pPr>
      <w:r w:rsidRPr="000B485C">
        <w:rPr>
          <w:szCs w:val="22"/>
        </w:rPr>
        <w:t xml:space="preserve">Let’s examine the impact of not having to pay income taxes on </w:t>
      </w:r>
      <w:r w:rsidR="000F56BF">
        <w:rPr>
          <w:szCs w:val="22"/>
        </w:rPr>
        <w:t>a</w:t>
      </w:r>
      <w:r w:rsidR="00E13285">
        <w:rPr>
          <w:szCs w:val="22"/>
        </w:rPr>
        <w:t xml:space="preserv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distribution</w:t>
      </w:r>
      <w:r w:rsidR="00B5479D">
        <w:rPr>
          <w:szCs w:val="22"/>
        </w:rPr>
        <w:t xml:space="preserve"> by comparing it to a currently-taxed account</w:t>
      </w:r>
      <w:r w:rsidRPr="000B485C">
        <w:rPr>
          <w:szCs w:val="22"/>
        </w:rPr>
        <w:t>.</w:t>
      </w:r>
      <w:r w:rsidR="00297ACB">
        <w:rPr>
          <w:szCs w:val="22"/>
        </w:rPr>
        <w:t xml:space="preserve"> </w:t>
      </w:r>
      <w:r w:rsidR="00B5479D">
        <w:rPr>
          <w:szCs w:val="22"/>
        </w:rPr>
        <w:t xml:space="preserve">Since neither the currently-taxed account contributions nor the Roth </w:t>
      </w:r>
      <w:r w:rsidR="00B5479D">
        <w:rPr>
          <w:szCs w:val="22"/>
        </w:rPr>
        <w:lastRenderedPageBreak/>
        <w:t>IRA contributions are tax deductible, we have assumed</w:t>
      </w:r>
      <w:r w:rsidRPr="000B485C">
        <w:rPr>
          <w:szCs w:val="22"/>
        </w:rPr>
        <w:t xml:space="preserve"> that $</w:t>
      </w:r>
      <w:r w:rsidR="009F31E2">
        <w:rPr>
          <w:szCs w:val="22"/>
        </w:rPr>
        <w:t>4,125</w:t>
      </w:r>
      <w:r w:rsidRPr="000B485C">
        <w:rPr>
          <w:szCs w:val="22"/>
        </w:rPr>
        <w:t xml:space="preserve"> has been contributed each year to </w:t>
      </w:r>
      <w:r w:rsidR="00B5479D">
        <w:rPr>
          <w:szCs w:val="22"/>
        </w:rPr>
        <w:t xml:space="preserve">each </w:t>
      </w:r>
      <w:r w:rsidR="0008681C">
        <w:rPr>
          <w:szCs w:val="22"/>
        </w:rPr>
        <w:t>6</w:t>
      </w:r>
      <w:r w:rsidR="00E87764">
        <w:rPr>
          <w:szCs w:val="22"/>
        </w:rPr>
        <w:t>%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00E87764">
        <w:rPr>
          <w:szCs w:val="22"/>
        </w:rPr>
        <w:t xml:space="preserve"> </w:t>
      </w:r>
      <w:r w:rsidR="00B5479D">
        <w:rPr>
          <w:szCs w:val="22"/>
        </w:rPr>
        <w:t>account</w:t>
      </w:r>
      <w:r w:rsidRPr="000B485C">
        <w:rPr>
          <w:szCs w:val="22"/>
        </w:rPr>
        <w:t>—</w:t>
      </w:r>
      <w:r w:rsidR="00E13285">
        <w:rPr>
          <w:szCs w:val="22"/>
        </w:rPr>
        <w:t>an amount that</w:t>
      </w:r>
      <w:r w:rsidRPr="000B485C">
        <w:rPr>
          <w:szCs w:val="22"/>
        </w:rPr>
        <w:t xml:space="preserve"> is $</w:t>
      </w:r>
      <w:r w:rsidR="0008681C">
        <w:rPr>
          <w:szCs w:val="22"/>
        </w:rPr>
        <w:t>5</w:t>
      </w:r>
      <w:r w:rsidRPr="000B485C">
        <w:rPr>
          <w:szCs w:val="22"/>
        </w:rPr>
        <w:t>,</w:t>
      </w:r>
      <w:r w:rsidR="009F31E2">
        <w:rPr>
          <w:szCs w:val="22"/>
        </w:rPr>
        <w:t>5</w:t>
      </w:r>
      <w:r w:rsidRPr="000B485C">
        <w:rPr>
          <w:szCs w:val="22"/>
        </w:rPr>
        <w:t xml:space="preserve">00 </w:t>
      </w:r>
      <w:r w:rsidR="00E13285">
        <w:rPr>
          <w:szCs w:val="22"/>
        </w:rPr>
        <w:t>minus the income taxes in a 25</w:t>
      </w:r>
      <w:r w:rsidRPr="000B485C">
        <w:rPr>
          <w:szCs w:val="22"/>
        </w:rPr>
        <w:t>% tax bracket—the results look like this.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0"/>
        <w:gridCol w:w="1850"/>
        <w:gridCol w:w="2328"/>
        <w:gridCol w:w="1432"/>
        <w:gridCol w:w="1650"/>
      </w:tblGrid>
      <w:tr w:rsidR="00E13285" w:rsidRPr="006D389B" w14:paraId="299BCD40" w14:textId="77777777" w:rsidTr="006D389B">
        <w:trPr>
          <w:trHeight w:val="438"/>
          <w:jc w:val="center"/>
        </w:trPr>
        <w:tc>
          <w:tcPr>
            <w:tcW w:w="99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78696FCD" w14:textId="77777777" w:rsidR="00E13285" w:rsidRPr="006D389B" w:rsidRDefault="00E13285" w:rsidP="006D389B">
            <w:pPr>
              <w:keepNext/>
              <w:spacing w:before="240"/>
              <w:jc w:val="center"/>
              <w:rPr>
                <w:rFonts w:ascii="Arial" w:hAnsi="Arial" w:cs="Arial"/>
                <w:b/>
                <w:szCs w:val="22"/>
              </w:rPr>
            </w:pPr>
            <w:r w:rsidRPr="006D389B">
              <w:rPr>
                <w:rFonts w:ascii="Arial" w:hAnsi="Arial" w:cs="Arial"/>
                <w:b/>
                <w:szCs w:val="22"/>
              </w:rPr>
              <w:t>Years</w:t>
            </w:r>
          </w:p>
        </w:tc>
        <w:tc>
          <w:tcPr>
            <w:tcW w:w="185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7FF306CD" w14:textId="77777777" w:rsidR="00E13285" w:rsidRPr="006D389B" w:rsidRDefault="00E13285" w:rsidP="006D389B">
            <w:pPr>
              <w:keepNext/>
              <w:spacing w:before="80"/>
              <w:jc w:val="center"/>
              <w:rPr>
                <w:rFonts w:ascii="Arial" w:hAnsi="Arial" w:cs="Arial"/>
                <w:b/>
                <w:szCs w:val="22"/>
              </w:rPr>
            </w:pPr>
            <w:r w:rsidRPr="006D389B">
              <w:rPr>
                <w:rFonts w:ascii="Arial" w:hAnsi="Arial" w:cs="Arial"/>
                <w:b/>
                <w:szCs w:val="22"/>
              </w:rPr>
              <w:t>Tax-Deferred</w:t>
            </w:r>
            <w:r w:rsidR="0042516E" w:rsidRPr="006D389B">
              <w:rPr>
                <w:rFonts w:ascii="Arial" w:hAnsi="Arial" w:cs="Arial"/>
                <w:b/>
                <w:szCs w:val="22"/>
              </w:rPr>
              <w:br/>
            </w:r>
            <w:r w:rsidRPr="006D389B">
              <w:rPr>
                <w:rFonts w:ascii="Arial" w:hAnsi="Arial" w:cs="Arial"/>
                <w:b/>
                <w:szCs w:val="22"/>
              </w:rPr>
              <w:t>Account Value</w:t>
            </w:r>
          </w:p>
        </w:tc>
        <w:tc>
          <w:tcPr>
            <w:tcW w:w="2328"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2958E614" w14:textId="77777777" w:rsidR="00E13285" w:rsidRPr="006D389B" w:rsidRDefault="00E13285" w:rsidP="006D389B">
            <w:pPr>
              <w:keepNext/>
              <w:spacing w:before="80"/>
              <w:jc w:val="center"/>
              <w:rPr>
                <w:rFonts w:ascii="Arial" w:hAnsi="Arial" w:cs="Arial"/>
                <w:b/>
                <w:szCs w:val="22"/>
              </w:rPr>
            </w:pPr>
            <w:r w:rsidRPr="006D389B">
              <w:rPr>
                <w:rFonts w:ascii="Arial" w:hAnsi="Arial" w:cs="Arial"/>
                <w:b/>
                <w:szCs w:val="22"/>
              </w:rPr>
              <w:t>Currently-Taxed</w:t>
            </w:r>
            <w:r w:rsidR="0042516E" w:rsidRPr="006D389B">
              <w:rPr>
                <w:rFonts w:ascii="Arial" w:hAnsi="Arial" w:cs="Arial"/>
                <w:b/>
                <w:szCs w:val="22"/>
              </w:rPr>
              <w:br/>
            </w:r>
            <w:r w:rsidRPr="00BD44C4">
              <w:rPr>
                <w:rStyle w:val="StyleArial11ptBoldChar"/>
              </w:rPr>
              <w:t>Account Value</w:t>
            </w:r>
            <w:r w:rsidRPr="006D389B">
              <w:rPr>
                <w:b/>
                <w:szCs w:val="22"/>
              </w:rPr>
              <w:t>‡</w:t>
            </w:r>
          </w:p>
        </w:tc>
        <w:tc>
          <w:tcPr>
            <w:tcW w:w="1432"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527F4DA1" w14:textId="77777777" w:rsidR="00E13285" w:rsidRPr="006D389B" w:rsidRDefault="00E13285" w:rsidP="006D389B">
            <w:pPr>
              <w:keepNext/>
              <w:spacing w:before="80"/>
              <w:jc w:val="center"/>
              <w:rPr>
                <w:rFonts w:ascii="Arial" w:hAnsi="Arial" w:cs="Arial"/>
                <w:b/>
                <w:szCs w:val="22"/>
              </w:rPr>
            </w:pPr>
            <w:r w:rsidRPr="006D389B">
              <w:rPr>
                <w:rFonts w:ascii="Arial" w:hAnsi="Arial" w:cs="Arial"/>
                <w:b/>
                <w:szCs w:val="22"/>
              </w:rPr>
              <w:t>Dollar</w:t>
            </w:r>
            <w:r w:rsidR="0042516E" w:rsidRPr="006D389B">
              <w:rPr>
                <w:rFonts w:ascii="Arial" w:hAnsi="Arial" w:cs="Arial"/>
                <w:b/>
                <w:szCs w:val="22"/>
              </w:rPr>
              <w:br/>
            </w:r>
            <w:r w:rsidRPr="006D389B">
              <w:rPr>
                <w:rFonts w:ascii="Arial" w:hAnsi="Arial" w:cs="Arial"/>
                <w:b/>
                <w:szCs w:val="22"/>
              </w:rPr>
              <w:t>Difference</w:t>
            </w:r>
          </w:p>
        </w:tc>
        <w:tc>
          <w:tcPr>
            <w:tcW w:w="165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78D1F473" w14:textId="77777777" w:rsidR="00E13285" w:rsidRPr="006D389B" w:rsidRDefault="00E13285" w:rsidP="006D389B">
            <w:pPr>
              <w:keepNext/>
              <w:spacing w:before="80"/>
              <w:jc w:val="center"/>
              <w:rPr>
                <w:rFonts w:ascii="Arial" w:hAnsi="Arial" w:cs="Arial"/>
                <w:b/>
                <w:szCs w:val="22"/>
              </w:rPr>
            </w:pPr>
            <w:r w:rsidRPr="006D389B">
              <w:rPr>
                <w:rFonts w:ascii="Arial" w:hAnsi="Arial" w:cs="Arial"/>
                <w:b/>
                <w:szCs w:val="22"/>
              </w:rPr>
              <w:t>Percentage</w:t>
            </w:r>
            <w:r w:rsidR="0042516E" w:rsidRPr="006D389B">
              <w:rPr>
                <w:rFonts w:ascii="Arial" w:hAnsi="Arial" w:cs="Arial"/>
                <w:b/>
                <w:szCs w:val="22"/>
              </w:rPr>
              <w:br/>
            </w:r>
            <w:r w:rsidRPr="006D389B">
              <w:rPr>
                <w:rFonts w:ascii="Arial" w:hAnsi="Arial" w:cs="Arial"/>
                <w:b/>
                <w:szCs w:val="22"/>
              </w:rPr>
              <w:t>Difference</w:t>
            </w:r>
          </w:p>
        </w:tc>
      </w:tr>
      <w:tr w:rsidR="009F31E2" w:rsidRPr="006D389B" w14:paraId="59918B0D" w14:textId="77777777" w:rsidTr="006D389B">
        <w:trPr>
          <w:jc w:val="center"/>
        </w:trPr>
        <w:tc>
          <w:tcPr>
            <w:tcW w:w="990" w:type="dxa"/>
            <w:tcBorders>
              <w:bottom w:val="single" w:sz="6" w:space="0" w:color="auto"/>
              <w:right w:val="single" w:sz="6" w:space="0" w:color="auto"/>
            </w:tcBorders>
            <w:vAlign w:val="center"/>
          </w:tcPr>
          <w:p w14:paraId="591DD243" w14:textId="77777777" w:rsidR="009F31E2" w:rsidRDefault="009F31E2" w:rsidP="006D389B">
            <w:pPr>
              <w:pStyle w:val="wTableNormal"/>
              <w:jc w:val="right"/>
            </w:pPr>
            <w:r w:rsidRPr="00A7259E">
              <w:t>5</w:t>
            </w:r>
          </w:p>
        </w:tc>
        <w:tc>
          <w:tcPr>
            <w:tcW w:w="1850" w:type="dxa"/>
            <w:tcBorders>
              <w:left w:val="single" w:sz="6" w:space="0" w:color="auto"/>
              <w:bottom w:val="single" w:sz="6" w:space="0" w:color="auto"/>
              <w:right w:val="single" w:sz="6" w:space="0" w:color="auto"/>
            </w:tcBorders>
            <w:vAlign w:val="center"/>
          </w:tcPr>
          <w:p w14:paraId="68182F27" w14:textId="77777777" w:rsidR="009F31E2" w:rsidRDefault="009F31E2" w:rsidP="006D389B">
            <w:pPr>
              <w:pStyle w:val="wTableNormal"/>
              <w:ind w:right="407"/>
              <w:jc w:val="right"/>
            </w:pPr>
            <w:r w:rsidRPr="00982ABF">
              <w:rPr>
                <w:szCs w:val="22"/>
              </w:rPr>
              <w:t>$</w:t>
            </w:r>
            <w:r>
              <w:rPr>
                <w:szCs w:val="22"/>
              </w:rPr>
              <w:t>24,648</w:t>
            </w:r>
          </w:p>
        </w:tc>
        <w:tc>
          <w:tcPr>
            <w:tcW w:w="2328" w:type="dxa"/>
            <w:tcBorders>
              <w:left w:val="single" w:sz="6" w:space="0" w:color="auto"/>
              <w:bottom w:val="single" w:sz="6" w:space="0" w:color="auto"/>
              <w:right w:val="single" w:sz="6" w:space="0" w:color="auto"/>
            </w:tcBorders>
            <w:vAlign w:val="center"/>
          </w:tcPr>
          <w:p w14:paraId="02D5CAB5" w14:textId="77777777" w:rsidR="009F31E2" w:rsidRDefault="009F31E2" w:rsidP="006D389B">
            <w:pPr>
              <w:pStyle w:val="wTableNormal"/>
              <w:ind w:right="705"/>
              <w:jc w:val="right"/>
            </w:pPr>
            <w:r w:rsidRPr="00982ABF">
              <w:rPr>
                <w:szCs w:val="22"/>
              </w:rPr>
              <w:t>$</w:t>
            </w:r>
            <w:r>
              <w:rPr>
                <w:szCs w:val="22"/>
              </w:rPr>
              <w:t>23,582</w:t>
            </w:r>
          </w:p>
        </w:tc>
        <w:tc>
          <w:tcPr>
            <w:tcW w:w="1432" w:type="dxa"/>
            <w:tcBorders>
              <w:left w:val="single" w:sz="6" w:space="0" w:color="auto"/>
              <w:bottom w:val="single" w:sz="6" w:space="0" w:color="auto"/>
              <w:right w:val="single" w:sz="6" w:space="0" w:color="auto"/>
            </w:tcBorders>
            <w:vAlign w:val="center"/>
          </w:tcPr>
          <w:p w14:paraId="5ECE2591" w14:textId="77777777" w:rsidR="009F31E2" w:rsidRDefault="009F31E2" w:rsidP="006D389B">
            <w:pPr>
              <w:pStyle w:val="wTableNormal"/>
              <w:ind w:right="207"/>
              <w:jc w:val="right"/>
            </w:pPr>
            <w:r w:rsidRPr="00982ABF">
              <w:rPr>
                <w:szCs w:val="22"/>
              </w:rPr>
              <w:t>$</w:t>
            </w:r>
            <w:r>
              <w:rPr>
                <w:szCs w:val="22"/>
              </w:rPr>
              <w:t>1,066</w:t>
            </w:r>
          </w:p>
        </w:tc>
        <w:tc>
          <w:tcPr>
            <w:tcW w:w="1650" w:type="dxa"/>
            <w:tcBorders>
              <w:left w:val="single" w:sz="6" w:space="0" w:color="auto"/>
              <w:bottom w:val="single" w:sz="6" w:space="0" w:color="auto"/>
            </w:tcBorders>
            <w:vAlign w:val="center"/>
          </w:tcPr>
          <w:p w14:paraId="25842524" w14:textId="77777777" w:rsidR="009F31E2" w:rsidRDefault="009F31E2" w:rsidP="006D389B">
            <w:pPr>
              <w:pStyle w:val="wTableNormal"/>
              <w:ind w:right="487"/>
              <w:jc w:val="right"/>
            </w:pPr>
            <w:r w:rsidRPr="006D389B">
              <w:rPr>
                <w:szCs w:val="22"/>
              </w:rPr>
              <w:t>4.5%</w:t>
            </w:r>
          </w:p>
        </w:tc>
      </w:tr>
      <w:tr w:rsidR="009F31E2" w:rsidRPr="006D389B" w14:paraId="6731DA33" w14:textId="77777777" w:rsidTr="006D389B">
        <w:trPr>
          <w:jc w:val="center"/>
        </w:trPr>
        <w:tc>
          <w:tcPr>
            <w:tcW w:w="990" w:type="dxa"/>
            <w:tcBorders>
              <w:top w:val="single" w:sz="6" w:space="0" w:color="auto"/>
              <w:bottom w:val="single" w:sz="6" w:space="0" w:color="auto"/>
              <w:right w:val="single" w:sz="6" w:space="0" w:color="auto"/>
            </w:tcBorders>
            <w:vAlign w:val="center"/>
          </w:tcPr>
          <w:p w14:paraId="3F905BAC" w14:textId="77777777" w:rsidR="009F31E2" w:rsidRDefault="009F31E2" w:rsidP="006D389B">
            <w:pPr>
              <w:pStyle w:val="wTableNormal"/>
              <w:jc w:val="right"/>
            </w:pPr>
            <w:r w:rsidRPr="00A7259E">
              <w:t>10</w:t>
            </w:r>
          </w:p>
        </w:tc>
        <w:tc>
          <w:tcPr>
            <w:tcW w:w="1850" w:type="dxa"/>
            <w:tcBorders>
              <w:top w:val="single" w:sz="6" w:space="0" w:color="auto"/>
              <w:left w:val="single" w:sz="6" w:space="0" w:color="auto"/>
              <w:bottom w:val="single" w:sz="6" w:space="0" w:color="auto"/>
              <w:right w:val="single" w:sz="6" w:space="0" w:color="auto"/>
            </w:tcBorders>
            <w:vAlign w:val="center"/>
          </w:tcPr>
          <w:p w14:paraId="2019A92E" w14:textId="77777777" w:rsidR="009F31E2" w:rsidRDefault="009F31E2" w:rsidP="006D389B">
            <w:pPr>
              <w:pStyle w:val="wTableNormal"/>
              <w:ind w:right="407"/>
              <w:jc w:val="right"/>
            </w:pPr>
            <w:r w:rsidRPr="00982ABF">
              <w:rPr>
                <w:szCs w:val="22"/>
              </w:rPr>
              <w:t>$</w:t>
            </w:r>
            <w:r>
              <w:rPr>
                <w:szCs w:val="22"/>
              </w:rPr>
              <w:t>57,633</w:t>
            </w:r>
          </w:p>
        </w:tc>
        <w:tc>
          <w:tcPr>
            <w:tcW w:w="2328" w:type="dxa"/>
            <w:tcBorders>
              <w:top w:val="single" w:sz="6" w:space="0" w:color="auto"/>
              <w:left w:val="single" w:sz="6" w:space="0" w:color="auto"/>
              <w:bottom w:val="single" w:sz="6" w:space="0" w:color="auto"/>
              <w:right w:val="single" w:sz="6" w:space="0" w:color="auto"/>
            </w:tcBorders>
            <w:vAlign w:val="center"/>
          </w:tcPr>
          <w:p w14:paraId="137C1F6F" w14:textId="77777777" w:rsidR="009F31E2" w:rsidRDefault="009F31E2" w:rsidP="006D389B">
            <w:pPr>
              <w:pStyle w:val="wTableNormal"/>
              <w:ind w:right="705"/>
              <w:jc w:val="right"/>
            </w:pPr>
            <w:r w:rsidRPr="00982ABF">
              <w:rPr>
                <w:szCs w:val="22"/>
              </w:rPr>
              <w:t>$</w:t>
            </w:r>
            <w:r>
              <w:rPr>
                <w:szCs w:val="22"/>
              </w:rPr>
              <w:t>52,970</w:t>
            </w:r>
          </w:p>
        </w:tc>
        <w:tc>
          <w:tcPr>
            <w:tcW w:w="1432" w:type="dxa"/>
            <w:tcBorders>
              <w:top w:val="single" w:sz="6" w:space="0" w:color="auto"/>
              <w:left w:val="single" w:sz="6" w:space="0" w:color="auto"/>
              <w:bottom w:val="single" w:sz="6" w:space="0" w:color="auto"/>
              <w:right w:val="single" w:sz="6" w:space="0" w:color="auto"/>
            </w:tcBorders>
            <w:vAlign w:val="center"/>
          </w:tcPr>
          <w:p w14:paraId="1BCE9103" w14:textId="77777777" w:rsidR="009F31E2" w:rsidRDefault="009F31E2" w:rsidP="006D389B">
            <w:pPr>
              <w:pStyle w:val="wTableNormal"/>
              <w:ind w:right="207"/>
              <w:jc w:val="right"/>
            </w:pPr>
            <w:r w:rsidRPr="00982ABF">
              <w:rPr>
                <w:szCs w:val="22"/>
              </w:rPr>
              <w:t>$</w:t>
            </w:r>
            <w:r>
              <w:rPr>
                <w:szCs w:val="22"/>
              </w:rPr>
              <w:t>4,663</w:t>
            </w:r>
          </w:p>
        </w:tc>
        <w:tc>
          <w:tcPr>
            <w:tcW w:w="1650" w:type="dxa"/>
            <w:tcBorders>
              <w:top w:val="single" w:sz="6" w:space="0" w:color="auto"/>
              <w:left w:val="single" w:sz="6" w:space="0" w:color="auto"/>
              <w:bottom w:val="single" w:sz="6" w:space="0" w:color="auto"/>
            </w:tcBorders>
            <w:vAlign w:val="center"/>
          </w:tcPr>
          <w:p w14:paraId="5E9DCF98" w14:textId="77777777" w:rsidR="009F31E2" w:rsidRDefault="009F31E2" w:rsidP="006D389B">
            <w:pPr>
              <w:pStyle w:val="wTableNormal"/>
              <w:ind w:right="487"/>
              <w:jc w:val="right"/>
            </w:pPr>
            <w:r w:rsidRPr="006D389B">
              <w:rPr>
                <w:szCs w:val="22"/>
              </w:rPr>
              <w:t>8.8%</w:t>
            </w:r>
          </w:p>
        </w:tc>
      </w:tr>
      <w:tr w:rsidR="009F31E2" w:rsidRPr="006D389B" w14:paraId="3A00349F" w14:textId="77777777" w:rsidTr="006D389B">
        <w:trPr>
          <w:jc w:val="center"/>
        </w:trPr>
        <w:tc>
          <w:tcPr>
            <w:tcW w:w="990" w:type="dxa"/>
            <w:tcBorders>
              <w:top w:val="single" w:sz="6" w:space="0" w:color="auto"/>
              <w:bottom w:val="single" w:sz="6" w:space="0" w:color="auto"/>
              <w:right w:val="single" w:sz="6" w:space="0" w:color="auto"/>
            </w:tcBorders>
            <w:vAlign w:val="center"/>
          </w:tcPr>
          <w:p w14:paraId="7E8CCA83" w14:textId="77777777" w:rsidR="009F31E2" w:rsidRDefault="009F31E2" w:rsidP="006D389B">
            <w:pPr>
              <w:pStyle w:val="wTableNormal"/>
              <w:jc w:val="right"/>
            </w:pPr>
            <w:r w:rsidRPr="00A7259E">
              <w:t>15</w:t>
            </w:r>
          </w:p>
        </w:tc>
        <w:tc>
          <w:tcPr>
            <w:tcW w:w="1850" w:type="dxa"/>
            <w:tcBorders>
              <w:top w:val="single" w:sz="6" w:space="0" w:color="auto"/>
              <w:left w:val="single" w:sz="6" w:space="0" w:color="auto"/>
              <w:bottom w:val="single" w:sz="6" w:space="0" w:color="auto"/>
              <w:right w:val="single" w:sz="6" w:space="0" w:color="auto"/>
            </w:tcBorders>
            <w:vAlign w:val="center"/>
          </w:tcPr>
          <w:p w14:paraId="7A420AAF" w14:textId="77777777" w:rsidR="009F31E2" w:rsidRDefault="009F31E2" w:rsidP="006D389B">
            <w:pPr>
              <w:pStyle w:val="wTableNormal"/>
              <w:ind w:right="407"/>
              <w:jc w:val="right"/>
            </w:pPr>
            <w:r w:rsidRPr="00982ABF">
              <w:rPr>
                <w:szCs w:val="22"/>
              </w:rPr>
              <w:t>$</w:t>
            </w:r>
            <w:r>
              <w:rPr>
                <w:szCs w:val="22"/>
              </w:rPr>
              <w:t>101,774</w:t>
            </w:r>
          </w:p>
        </w:tc>
        <w:tc>
          <w:tcPr>
            <w:tcW w:w="2328" w:type="dxa"/>
            <w:tcBorders>
              <w:top w:val="single" w:sz="6" w:space="0" w:color="auto"/>
              <w:left w:val="single" w:sz="6" w:space="0" w:color="auto"/>
              <w:bottom w:val="single" w:sz="6" w:space="0" w:color="auto"/>
              <w:right w:val="single" w:sz="6" w:space="0" w:color="auto"/>
            </w:tcBorders>
            <w:vAlign w:val="center"/>
          </w:tcPr>
          <w:p w14:paraId="52A0C898" w14:textId="77777777" w:rsidR="009F31E2" w:rsidRDefault="009F31E2" w:rsidP="006D389B">
            <w:pPr>
              <w:pStyle w:val="wTableNormal"/>
              <w:ind w:right="705"/>
              <w:jc w:val="right"/>
            </w:pPr>
            <w:r w:rsidRPr="00982ABF">
              <w:rPr>
                <w:szCs w:val="22"/>
              </w:rPr>
              <w:t>$</w:t>
            </w:r>
            <w:r>
              <w:rPr>
                <w:szCs w:val="22"/>
              </w:rPr>
              <w:t>89,592</w:t>
            </w:r>
          </w:p>
        </w:tc>
        <w:tc>
          <w:tcPr>
            <w:tcW w:w="1432" w:type="dxa"/>
            <w:tcBorders>
              <w:top w:val="single" w:sz="6" w:space="0" w:color="auto"/>
              <w:left w:val="single" w:sz="6" w:space="0" w:color="auto"/>
              <w:bottom w:val="single" w:sz="6" w:space="0" w:color="auto"/>
              <w:right w:val="single" w:sz="6" w:space="0" w:color="auto"/>
            </w:tcBorders>
            <w:vAlign w:val="center"/>
          </w:tcPr>
          <w:p w14:paraId="7D3C5425" w14:textId="77777777" w:rsidR="009F31E2" w:rsidRDefault="009F31E2" w:rsidP="006D389B">
            <w:pPr>
              <w:pStyle w:val="wTableNormal"/>
              <w:ind w:right="207"/>
              <w:jc w:val="right"/>
            </w:pPr>
            <w:r w:rsidRPr="00982ABF">
              <w:rPr>
                <w:szCs w:val="22"/>
              </w:rPr>
              <w:t>$</w:t>
            </w:r>
            <w:r>
              <w:rPr>
                <w:szCs w:val="22"/>
              </w:rPr>
              <w:t>12,182</w:t>
            </w:r>
          </w:p>
        </w:tc>
        <w:tc>
          <w:tcPr>
            <w:tcW w:w="1650" w:type="dxa"/>
            <w:tcBorders>
              <w:top w:val="single" w:sz="6" w:space="0" w:color="auto"/>
              <w:left w:val="single" w:sz="6" w:space="0" w:color="auto"/>
              <w:bottom w:val="single" w:sz="6" w:space="0" w:color="auto"/>
            </w:tcBorders>
            <w:vAlign w:val="center"/>
          </w:tcPr>
          <w:p w14:paraId="0E7502FC" w14:textId="77777777" w:rsidR="009F31E2" w:rsidRDefault="009F31E2" w:rsidP="006D389B">
            <w:pPr>
              <w:pStyle w:val="wTableNormal"/>
              <w:ind w:right="487"/>
              <w:jc w:val="right"/>
            </w:pPr>
            <w:r w:rsidRPr="006D389B">
              <w:rPr>
                <w:szCs w:val="22"/>
              </w:rPr>
              <w:t>13.6%</w:t>
            </w:r>
          </w:p>
        </w:tc>
      </w:tr>
      <w:tr w:rsidR="009F31E2" w:rsidRPr="006D389B" w14:paraId="51B1991E" w14:textId="77777777" w:rsidTr="006D389B">
        <w:trPr>
          <w:jc w:val="center"/>
        </w:trPr>
        <w:tc>
          <w:tcPr>
            <w:tcW w:w="990" w:type="dxa"/>
            <w:tcBorders>
              <w:top w:val="single" w:sz="6" w:space="0" w:color="auto"/>
              <w:bottom w:val="single" w:sz="6" w:space="0" w:color="auto"/>
              <w:right w:val="single" w:sz="6" w:space="0" w:color="auto"/>
            </w:tcBorders>
            <w:vAlign w:val="center"/>
          </w:tcPr>
          <w:p w14:paraId="34EF7EA5" w14:textId="77777777" w:rsidR="009F31E2" w:rsidRDefault="009F31E2" w:rsidP="006D389B">
            <w:pPr>
              <w:pStyle w:val="wTableNormal"/>
              <w:jc w:val="right"/>
            </w:pPr>
            <w:r w:rsidRPr="00A7259E">
              <w:t>20</w:t>
            </w:r>
          </w:p>
        </w:tc>
        <w:tc>
          <w:tcPr>
            <w:tcW w:w="1850" w:type="dxa"/>
            <w:tcBorders>
              <w:top w:val="single" w:sz="6" w:space="0" w:color="auto"/>
              <w:left w:val="single" w:sz="6" w:space="0" w:color="auto"/>
              <w:bottom w:val="single" w:sz="6" w:space="0" w:color="auto"/>
              <w:right w:val="single" w:sz="6" w:space="0" w:color="auto"/>
            </w:tcBorders>
            <w:vAlign w:val="center"/>
          </w:tcPr>
          <w:p w14:paraId="62DA5356" w14:textId="77777777" w:rsidR="009F31E2" w:rsidRDefault="009F31E2" w:rsidP="006D389B">
            <w:pPr>
              <w:pStyle w:val="wTableNormal"/>
              <w:ind w:right="407"/>
              <w:jc w:val="right"/>
            </w:pPr>
            <w:r w:rsidRPr="00982ABF">
              <w:rPr>
                <w:szCs w:val="22"/>
              </w:rPr>
              <w:t>$</w:t>
            </w:r>
            <w:r>
              <w:rPr>
                <w:szCs w:val="22"/>
              </w:rPr>
              <w:t>160,845</w:t>
            </w:r>
          </w:p>
        </w:tc>
        <w:tc>
          <w:tcPr>
            <w:tcW w:w="2328" w:type="dxa"/>
            <w:tcBorders>
              <w:top w:val="single" w:sz="6" w:space="0" w:color="auto"/>
              <w:left w:val="single" w:sz="6" w:space="0" w:color="auto"/>
              <w:bottom w:val="single" w:sz="6" w:space="0" w:color="auto"/>
              <w:right w:val="single" w:sz="6" w:space="0" w:color="auto"/>
            </w:tcBorders>
            <w:vAlign w:val="center"/>
          </w:tcPr>
          <w:p w14:paraId="6CBBEA73" w14:textId="77777777" w:rsidR="009F31E2" w:rsidRDefault="009F31E2" w:rsidP="006D389B">
            <w:pPr>
              <w:pStyle w:val="wTableNormal"/>
              <w:ind w:right="705"/>
              <w:jc w:val="right"/>
            </w:pPr>
            <w:r w:rsidRPr="00982ABF">
              <w:rPr>
                <w:szCs w:val="22"/>
              </w:rPr>
              <w:t>$</w:t>
            </w:r>
            <w:r>
              <w:rPr>
                <w:szCs w:val="22"/>
              </w:rPr>
              <w:t>135,230</w:t>
            </w:r>
          </w:p>
        </w:tc>
        <w:tc>
          <w:tcPr>
            <w:tcW w:w="1432" w:type="dxa"/>
            <w:tcBorders>
              <w:top w:val="single" w:sz="6" w:space="0" w:color="auto"/>
              <w:left w:val="single" w:sz="6" w:space="0" w:color="auto"/>
              <w:bottom w:val="single" w:sz="6" w:space="0" w:color="auto"/>
              <w:right w:val="single" w:sz="6" w:space="0" w:color="auto"/>
            </w:tcBorders>
            <w:vAlign w:val="center"/>
          </w:tcPr>
          <w:p w14:paraId="001E2050" w14:textId="77777777" w:rsidR="009F31E2" w:rsidRDefault="009F31E2" w:rsidP="006D389B">
            <w:pPr>
              <w:pStyle w:val="wTableNormal"/>
              <w:ind w:right="207"/>
              <w:jc w:val="right"/>
            </w:pPr>
            <w:r w:rsidRPr="00982ABF">
              <w:rPr>
                <w:szCs w:val="22"/>
              </w:rPr>
              <w:t>$</w:t>
            </w:r>
            <w:r>
              <w:rPr>
                <w:szCs w:val="22"/>
              </w:rPr>
              <w:t>25,615</w:t>
            </w:r>
          </w:p>
        </w:tc>
        <w:tc>
          <w:tcPr>
            <w:tcW w:w="1650" w:type="dxa"/>
            <w:tcBorders>
              <w:top w:val="single" w:sz="6" w:space="0" w:color="auto"/>
              <w:left w:val="single" w:sz="6" w:space="0" w:color="auto"/>
              <w:bottom w:val="single" w:sz="6" w:space="0" w:color="auto"/>
            </w:tcBorders>
            <w:vAlign w:val="center"/>
          </w:tcPr>
          <w:p w14:paraId="1ECA4B25" w14:textId="77777777" w:rsidR="009F31E2" w:rsidRDefault="009F31E2" w:rsidP="006D389B">
            <w:pPr>
              <w:pStyle w:val="wTableNormal"/>
              <w:ind w:right="487"/>
              <w:jc w:val="right"/>
            </w:pPr>
            <w:r w:rsidRPr="006D389B">
              <w:rPr>
                <w:szCs w:val="22"/>
              </w:rPr>
              <w:t>18.9%</w:t>
            </w:r>
          </w:p>
        </w:tc>
      </w:tr>
      <w:tr w:rsidR="009F31E2" w:rsidRPr="006D389B" w14:paraId="4CF35431" w14:textId="77777777" w:rsidTr="006D389B">
        <w:trPr>
          <w:jc w:val="center"/>
        </w:trPr>
        <w:tc>
          <w:tcPr>
            <w:tcW w:w="990" w:type="dxa"/>
            <w:tcBorders>
              <w:top w:val="single" w:sz="6" w:space="0" w:color="auto"/>
              <w:bottom w:val="single" w:sz="6" w:space="0" w:color="auto"/>
              <w:right w:val="single" w:sz="6" w:space="0" w:color="auto"/>
            </w:tcBorders>
            <w:vAlign w:val="center"/>
          </w:tcPr>
          <w:p w14:paraId="254BF17C" w14:textId="77777777" w:rsidR="009F31E2" w:rsidRDefault="009F31E2" w:rsidP="006D389B">
            <w:pPr>
              <w:pStyle w:val="wTableNormal"/>
              <w:jc w:val="right"/>
            </w:pPr>
            <w:r w:rsidRPr="00A7259E">
              <w:t>25</w:t>
            </w:r>
          </w:p>
        </w:tc>
        <w:tc>
          <w:tcPr>
            <w:tcW w:w="1850" w:type="dxa"/>
            <w:tcBorders>
              <w:top w:val="single" w:sz="6" w:space="0" w:color="auto"/>
              <w:left w:val="single" w:sz="6" w:space="0" w:color="auto"/>
              <w:bottom w:val="single" w:sz="6" w:space="0" w:color="auto"/>
              <w:right w:val="single" w:sz="6" w:space="0" w:color="auto"/>
            </w:tcBorders>
            <w:vAlign w:val="center"/>
          </w:tcPr>
          <w:p w14:paraId="6D7BF6DD" w14:textId="77777777" w:rsidR="009F31E2" w:rsidRDefault="009F31E2" w:rsidP="006D389B">
            <w:pPr>
              <w:pStyle w:val="wTableNormal"/>
              <w:ind w:right="407"/>
              <w:jc w:val="right"/>
            </w:pPr>
            <w:r w:rsidRPr="00982ABF">
              <w:rPr>
                <w:szCs w:val="22"/>
              </w:rPr>
              <w:t>$</w:t>
            </w:r>
            <w:r>
              <w:rPr>
                <w:szCs w:val="22"/>
              </w:rPr>
              <w:t>239,895</w:t>
            </w:r>
          </w:p>
        </w:tc>
        <w:tc>
          <w:tcPr>
            <w:tcW w:w="2328" w:type="dxa"/>
            <w:tcBorders>
              <w:top w:val="single" w:sz="6" w:space="0" w:color="auto"/>
              <w:left w:val="single" w:sz="6" w:space="0" w:color="auto"/>
              <w:bottom w:val="single" w:sz="6" w:space="0" w:color="auto"/>
              <w:right w:val="single" w:sz="6" w:space="0" w:color="auto"/>
            </w:tcBorders>
            <w:vAlign w:val="center"/>
          </w:tcPr>
          <w:p w14:paraId="47BA6DCD" w14:textId="77777777" w:rsidR="009F31E2" w:rsidRDefault="009F31E2" w:rsidP="006D389B">
            <w:pPr>
              <w:pStyle w:val="wTableNormal"/>
              <w:ind w:right="705"/>
              <w:jc w:val="right"/>
            </w:pPr>
            <w:r w:rsidRPr="00982ABF">
              <w:rPr>
                <w:szCs w:val="22"/>
              </w:rPr>
              <w:t>$</w:t>
            </w:r>
            <w:r>
              <w:rPr>
                <w:szCs w:val="22"/>
              </w:rPr>
              <w:t>192,104</w:t>
            </w:r>
          </w:p>
        </w:tc>
        <w:tc>
          <w:tcPr>
            <w:tcW w:w="1432" w:type="dxa"/>
            <w:tcBorders>
              <w:top w:val="single" w:sz="6" w:space="0" w:color="auto"/>
              <w:left w:val="single" w:sz="6" w:space="0" w:color="auto"/>
              <w:bottom w:val="single" w:sz="6" w:space="0" w:color="auto"/>
              <w:right w:val="single" w:sz="6" w:space="0" w:color="auto"/>
            </w:tcBorders>
            <w:vAlign w:val="center"/>
          </w:tcPr>
          <w:p w14:paraId="56133281" w14:textId="77777777" w:rsidR="009F31E2" w:rsidRDefault="009F31E2" w:rsidP="006D389B">
            <w:pPr>
              <w:pStyle w:val="wTableNormal"/>
              <w:ind w:right="207"/>
              <w:jc w:val="right"/>
            </w:pPr>
            <w:r w:rsidRPr="00982ABF">
              <w:rPr>
                <w:szCs w:val="22"/>
              </w:rPr>
              <w:t>$</w:t>
            </w:r>
            <w:r>
              <w:rPr>
                <w:szCs w:val="22"/>
              </w:rPr>
              <w:t>47,791</w:t>
            </w:r>
          </w:p>
        </w:tc>
        <w:tc>
          <w:tcPr>
            <w:tcW w:w="1650" w:type="dxa"/>
            <w:tcBorders>
              <w:top w:val="single" w:sz="6" w:space="0" w:color="auto"/>
              <w:left w:val="single" w:sz="6" w:space="0" w:color="auto"/>
              <w:bottom w:val="single" w:sz="6" w:space="0" w:color="auto"/>
            </w:tcBorders>
            <w:vAlign w:val="center"/>
          </w:tcPr>
          <w:p w14:paraId="39856152" w14:textId="77777777" w:rsidR="009F31E2" w:rsidRDefault="009F31E2" w:rsidP="006D389B">
            <w:pPr>
              <w:pStyle w:val="wTableNormal"/>
              <w:ind w:right="487"/>
              <w:jc w:val="right"/>
            </w:pPr>
            <w:r w:rsidRPr="006D389B">
              <w:rPr>
                <w:szCs w:val="22"/>
              </w:rPr>
              <w:t>24.9%</w:t>
            </w:r>
          </w:p>
        </w:tc>
      </w:tr>
      <w:tr w:rsidR="009F31E2" w:rsidRPr="006D389B" w14:paraId="1E4AAE55" w14:textId="77777777" w:rsidTr="006D389B">
        <w:trPr>
          <w:trHeight w:val="168"/>
          <w:jc w:val="center"/>
        </w:trPr>
        <w:tc>
          <w:tcPr>
            <w:tcW w:w="990" w:type="dxa"/>
            <w:tcBorders>
              <w:top w:val="single" w:sz="6" w:space="0" w:color="auto"/>
              <w:bottom w:val="single" w:sz="6" w:space="0" w:color="auto"/>
              <w:right w:val="single" w:sz="6" w:space="0" w:color="auto"/>
            </w:tcBorders>
            <w:vAlign w:val="center"/>
          </w:tcPr>
          <w:p w14:paraId="2DF1A7A1" w14:textId="77777777" w:rsidR="009F31E2" w:rsidRDefault="009F31E2" w:rsidP="006D389B">
            <w:pPr>
              <w:pStyle w:val="wTableNormal"/>
              <w:jc w:val="right"/>
            </w:pPr>
            <w:r w:rsidRPr="00A7259E">
              <w:t>30</w:t>
            </w:r>
          </w:p>
        </w:tc>
        <w:tc>
          <w:tcPr>
            <w:tcW w:w="1850" w:type="dxa"/>
            <w:tcBorders>
              <w:top w:val="single" w:sz="6" w:space="0" w:color="auto"/>
              <w:left w:val="single" w:sz="6" w:space="0" w:color="auto"/>
              <w:bottom w:val="single" w:sz="6" w:space="0" w:color="auto"/>
              <w:right w:val="single" w:sz="6" w:space="0" w:color="auto"/>
            </w:tcBorders>
            <w:vAlign w:val="center"/>
          </w:tcPr>
          <w:p w14:paraId="2AB89E6F" w14:textId="77777777" w:rsidR="009F31E2" w:rsidRDefault="009F31E2" w:rsidP="006D389B">
            <w:pPr>
              <w:pStyle w:val="wTableNormal"/>
              <w:ind w:right="407"/>
              <w:jc w:val="right"/>
            </w:pPr>
            <w:r w:rsidRPr="00982ABF">
              <w:rPr>
                <w:szCs w:val="22"/>
              </w:rPr>
              <w:t>$</w:t>
            </w:r>
            <w:r>
              <w:rPr>
                <w:szCs w:val="22"/>
              </w:rPr>
              <w:t>345,682</w:t>
            </w:r>
          </w:p>
        </w:tc>
        <w:tc>
          <w:tcPr>
            <w:tcW w:w="2328" w:type="dxa"/>
            <w:tcBorders>
              <w:top w:val="single" w:sz="6" w:space="0" w:color="auto"/>
              <w:left w:val="single" w:sz="6" w:space="0" w:color="auto"/>
              <w:bottom w:val="single" w:sz="6" w:space="0" w:color="auto"/>
              <w:right w:val="single" w:sz="6" w:space="0" w:color="auto"/>
            </w:tcBorders>
            <w:vAlign w:val="center"/>
          </w:tcPr>
          <w:p w14:paraId="07A2E517" w14:textId="77777777" w:rsidR="009F31E2" w:rsidRDefault="009F31E2" w:rsidP="006D389B">
            <w:pPr>
              <w:pStyle w:val="wTableNormal"/>
              <w:ind w:right="705"/>
              <w:jc w:val="right"/>
            </w:pPr>
            <w:r w:rsidRPr="00982ABF">
              <w:rPr>
                <w:szCs w:val="22"/>
              </w:rPr>
              <w:t>$</w:t>
            </w:r>
            <w:r>
              <w:rPr>
                <w:szCs w:val="22"/>
              </w:rPr>
              <w:t>262,979</w:t>
            </w:r>
          </w:p>
        </w:tc>
        <w:tc>
          <w:tcPr>
            <w:tcW w:w="1432" w:type="dxa"/>
            <w:tcBorders>
              <w:top w:val="single" w:sz="6" w:space="0" w:color="auto"/>
              <w:left w:val="single" w:sz="6" w:space="0" w:color="auto"/>
              <w:bottom w:val="single" w:sz="6" w:space="0" w:color="auto"/>
              <w:right w:val="single" w:sz="6" w:space="0" w:color="auto"/>
            </w:tcBorders>
            <w:vAlign w:val="center"/>
          </w:tcPr>
          <w:p w14:paraId="0F3B51E4" w14:textId="77777777" w:rsidR="009F31E2" w:rsidRDefault="009F31E2" w:rsidP="006D389B">
            <w:pPr>
              <w:pStyle w:val="wTableNormal"/>
              <w:ind w:right="207"/>
              <w:jc w:val="right"/>
            </w:pPr>
            <w:r w:rsidRPr="00982ABF">
              <w:rPr>
                <w:szCs w:val="22"/>
              </w:rPr>
              <w:t>$</w:t>
            </w:r>
            <w:r>
              <w:rPr>
                <w:szCs w:val="22"/>
              </w:rPr>
              <w:t>82,703</w:t>
            </w:r>
          </w:p>
        </w:tc>
        <w:tc>
          <w:tcPr>
            <w:tcW w:w="1650" w:type="dxa"/>
            <w:tcBorders>
              <w:top w:val="single" w:sz="6" w:space="0" w:color="auto"/>
              <w:left w:val="single" w:sz="6" w:space="0" w:color="auto"/>
              <w:bottom w:val="single" w:sz="6" w:space="0" w:color="auto"/>
            </w:tcBorders>
            <w:vAlign w:val="center"/>
          </w:tcPr>
          <w:p w14:paraId="71C14395" w14:textId="77777777" w:rsidR="009F31E2" w:rsidRDefault="009F31E2" w:rsidP="006D389B">
            <w:pPr>
              <w:pStyle w:val="wTableNormal"/>
              <w:ind w:right="487"/>
              <w:jc w:val="right"/>
            </w:pPr>
            <w:r w:rsidRPr="006D389B">
              <w:rPr>
                <w:szCs w:val="22"/>
              </w:rPr>
              <w:t>31.4%</w:t>
            </w:r>
          </w:p>
        </w:tc>
      </w:tr>
      <w:tr w:rsidR="00F6363B" w:rsidRPr="006D389B" w14:paraId="77613F1B" w14:textId="77777777" w:rsidTr="006D389B">
        <w:trPr>
          <w:trHeight w:val="222"/>
          <w:jc w:val="center"/>
        </w:trPr>
        <w:tc>
          <w:tcPr>
            <w:tcW w:w="8250" w:type="dxa"/>
            <w:gridSpan w:val="5"/>
            <w:tcBorders>
              <w:top w:val="single" w:sz="6" w:space="0" w:color="auto"/>
            </w:tcBorders>
          </w:tcPr>
          <w:p w14:paraId="320EA874" w14:textId="77777777" w:rsidR="00F6363B" w:rsidRPr="006D389B" w:rsidRDefault="00F6363B" w:rsidP="00F6363B">
            <w:pPr>
              <w:pStyle w:val="wTableNormal"/>
              <w:rPr>
                <w:sz w:val="18"/>
                <w:szCs w:val="18"/>
              </w:rPr>
            </w:pPr>
            <w:r w:rsidRPr="006D389B">
              <w:rPr>
                <w:sz w:val="18"/>
                <w:szCs w:val="18"/>
              </w:rPr>
              <w:t>‡Taxes due in a 25 percent bracket are assumed paid from the account each year.</w:t>
            </w:r>
          </w:p>
        </w:tc>
      </w:tr>
    </w:tbl>
    <w:p w14:paraId="68BEEE42" w14:textId="77777777" w:rsidR="00434CE0" w:rsidRPr="000B485C" w:rsidRDefault="00434CE0" w:rsidP="0072197B">
      <w:pPr>
        <w:spacing w:before="120"/>
        <w:rPr>
          <w:szCs w:val="22"/>
        </w:rPr>
      </w:pPr>
      <w:r w:rsidRPr="000B485C">
        <w:rPr>
          <w:szCs w:val="22"/>
        </w:rPr>
        <w:t xml:space="preserve">Notice that the difference in the value of the account at the end of twenty years is </w:t>
      </w:r>
      <w:r w:rsidR="0088589A">
        <w:rPr>
          <w:szCs w:val="22"/>
        </w:rPr>
        <w:t>almost 25</w:t>
      </w:r>
      <w:r w:rsidR="00B5479D">
        <w:rPr>
          <w:szCs w:val="22"/>
        </w:rPr>
        <w:t xml:space="preserve"> percent</w:t>
      </w:r>
      <w:r w:rsidRPr="000B485C">
        <w:rPr>
          <w:szCs w:val="22"/>
        </w:rPr>
        <w:t xml:space="preserve">, and at the end of thirty years it’s </w:t>
      </w:r>
      <w:r w:rsidR="0088589A">
        <w:rPr>
          <w:szCs w:val="22"/>
        </w:rPr>
        <w:t>31.4</w:t>
      </w:r>
      <w:r w:rsidR="00B5479D">
        <w:rPr>
          <w:szCs w:val="22"/>
        </w:rPr>
        <w:t xml:space="preserve"> percent</w:t>
      </w:r>
      <w:r w:rsidRPr="000B485C">
        <w:rPr>
          <w:szCs w:val="22"/>
        </w:rPr>
        <w:t>.</w:t>
      </w:r>
      <w:r w:rsidR="00297ACB">
        <w:rPr>
          <w:szCs w:val="22"/>
        </w:rPr>
        <w:t xml:space="preserve"> </w:t>
      </w:r>
      <w:r w:rsidRPr="000B485C">
        <w:rPr>
          <w:szCs w:val="22"/>
        </w:rPr>
        <w:t>There is another interesting phenomenon, however.</w:t>
      </w:r>
      <w:r w:rsidR="00297ACB">
        <w:rPr>
          <w:szCs w:val="22"/>
        </w:rPr>
        <w:t xml:space="preserve"> </w:t>
      </w:r>
      <w:r w:rsidR="00B5479D">
        <w:rPr>
          <w:szCs w:val="22"/>
        </w:rPr>
        <w:t xml:space="preserve">We have seen these </w:t>
      </w:r>
      <w:r w:rsidR="0088589A">
        <w:rPr>
          <w:szCs w:val="22"/>
        </w:rPr>
        <w:t>percentage increases</w:t>
      </w:r>
      <w:r w:rsidR="00B5479D">
        <w:rPr>
          <w:szCs w:val="22"/>
        </w:rPr>
        <w:t xml:space="preserve"> before:</w:t>
      </w:r>
      <w:r w:rsidRPr="000B485C">
        <w:rPr>
          <w:szCs w:val="22"/>
        </w:rPr>
        <w:t xml:space="preserve"> </w:t>
      </w:r>
      <w:r w:rsidR="00B5479D">
        <w:rPr>
          <w:szCs w:val="22"/>
        </w:rPr>
        <w:t>t</w:t>
      </w:r>
      <w:r w:rsidRPr="000B485C">
        <w:rPr>
          <w:szCs w:val="22"/>
        </w:rPr>
        <w:t xml:space="preserve">he </w:t>
      </w:r>
      <w:r w:rsidR="0088589A">
        <w:rPr>
          <w:szCs w:val="22"/>
        </w:rPr>
        <w:t>percentage increases</w:t>
      </w:r>
      <w:r w:rsidRPr="000B485C">
        <w:rPr>
          <w:szCs w:val="22"/>
        </w:rPr>
        <w:t xml:space="preserve"> are the same for both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w:t>
      </w:r>
      <w:r w:rsidR="00B5479D">
        <w:rPr>
          <w:szCs w:val="22"/>
        </w:rPr>
        <w:t xml:space="preserve">that we discussed earlier </w:t>
      </w:r>
      <w:r w:rsidRPr="000B485C">
        <w:rPr>
          <w:szCs w:val="22"/>
        </w:rPr>
        <w:t>and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DD3A95">
        <w:rPr>
          <w:szCs w:val="22"/>
        </w:rPr>
        <w:t xml:space="preserve"> that we are considering now</w:t>
      </w:r>
      <w:r w:rsidRPr="000B485C">
        <w:rPr>
          <w:szCs w:val="22"/>
        </w:rPr>
        <w:t>.</w:t>
      </w:r>
      <w:r w:rsidR="00297ACB">
        <w:rPr>
          <w:szCs w:val="22"/>
        </w:rPr>
        <w:t xml:space="preserve"> </w:t>
      </w:r>
      <w:r w:rsidR="00B5479D">
        <w:rPr>
          <w:szCs w:val="22"/>
        </w:rPr>
        <w:t>Assuming</w:t>
      </w:r>
      <w:r w:rsidRPr="000B485C">
        <w:rPr>
          <w:szCs w:val="22"/>
        </w:rPr>
        <w:t xml:space="preserve"> the same </w:t>
      </w:r>
      <w:r w:rsidR="00B5479D">
        <w:rPr>
          <w:szCs w:val="22"/>
        </w:rPr>
        <w:t xml:space="preserve">percentage </w:t>
      </w:r>
      <w:r w:rsidRPr="000B485C">
        <w:rPr>
          <w:szCs w:val="22"/>
        </w:rPr>
        <w:t>growth and tax bracket assumptions, the result is identical to the client provided that:</w:t>
      </w:r>
    </w:p>
    <w:p w14:paraId="7FC75920" w14:textId="77777777" w:rsidR="00434CE0" w:rsidRPr="00F6363B" w:rsidRDefault="00B5479D" w:rsidP="007A5E54">
      <w:pPr>
        <w:pStyle w:val="ListParagraph"/>
        <w:numPr>
          <w:ilvl w:val="0"/>
          <w:numId w:val="132"/>
        </w:numPr>
        <w:spacing w:before="120"/>
        <w:ind w:left="720"/>
      </w:pPr>
      <w:r w:rsidRPr="00F6363B">
        <w:t>T</w:t>
      </w:r>
      <w:r w:rsidR="00434CE0" w:rsidRPr="00F6363B">
        <w:t>he tax bracket</w:t>
      </w:r>
      <w:r w:rsidR="00A5334A">
        <w:t>s</w:t>
      </w:r>
      <w:r w:rsidR="00434CE0" w:rsidRPr="00F6363B">
        <w:t xml:space="preserve"> at the time of contribution and distribution are the same</w:t>
      </w:r>
      <w:r w:rsidR="00A5334A">
        <w:t>;</w:t>
      </w:r>
      <w:r w:rsidR="00F6363B" w:rsidRPr="00F6363B">
        <w:t xml:space="preserve"> </w:t>
      </w:r>
      <w:r w:rsidR="00434CE0" w:rsidRPr="00F6363B">
        <w:t>and</w:t>
      </w:r>
    </w:p>
    <w:p w14:paraId="1DB32A32" w14:textId="77777777" w:rsidR="00434CE0" w:rsidRPr="00F6363B" w:rsidRDefault="00B5479D" w:rsidP="007A5E54">
      <w:pPr>
        <w:pStyle w:val="ListParagraph"/>
        <w:numPr>
          <w:ilvl w:val="0"/>
          <w:numId w:val="132"/>
        </w:numPr>
        <w:spacing w:before="120"/>
        <w:ind w:left="720"/>
      </w:pPr>
      <w:r w:rsidRPr="00F6363B">
        <w:t>T</w:t>
      </w:r>
      <w:r w:rsidR="00434CE0" w:rsidRPr="00F6363B">
        <w:t>he amount contributed to the Roth IRA</w:t>
      </w:r>
      <w:r w:rsidR="00A95039">
        <w:fldChar w:fldCharType="begin"/>
      </w:r>
      <w:r w:rsidR="00293611">
        <w:instrText xml:space="preserve"> XE "</w:instrText>
      </w:r>
      <w:r w:rsidR="00293611" w:rsidRPr="00A5334A">
        <w:rPr>
          <w:szCs w:val="22"/>
        </w:rPr>
        <w:instrText>Roth IRA</w:instrText>
      </w:r>
      <w:r w:rsidR="00293611">
        <w:instrText xml:space="preserve">" </w:instrText>
      </w:r>
      <w:r w:rsidR="00A95039">
        <w:fldChar w:fldCharType="end"/>
      </w:r>
      <w:r w:rsidR="00434CE0" w:rsidRPr="00F6363B">
        <w:t xml:space="preserve"> is the after-tax </w:t>
      </w:r>
      <w:r w:rsidRPr="00F6363B">
        <w:t>equivalent of the amount contributed to the traditional IRA</w:t>
      </w:r>
      <w:r w:rsidR="00A5334A">
        <w:t>.</w:t>
      </w:r>
      <w:r w:rsidR="00A95039">
        <w:fldChar w:fldCharType="begin"/>
      </w:r>
      <w:r w:rsidR="00293611">
        <w:instrText xml:space="preserve"> XE "</w:instrText>
      </w:r>
      <w:r w:rsidR="00293611" w:rsidRPr="00A5334A">
        <w:rPr>
          <w:szCs w:val="22"/>
        </w:rPr>
        <w:instrText>traditional IRA</w:instrText>
      </w:r>
      <w:r w:rsidR="00293611">
        <w:instrText xml:space="preserve">" </w:instrText>
      </w:r>
      <w:r w:rsidR="00A95039">
        <w:fldChar w:fldCharType="end"/>
      </w:r>
    </w:p>
    <w:p w14:paraId="7D668685" w14:textId="77777777" w:rsidR="00434CE0" w:rsidRPr="000B485C" w:rsidRDefault="00434CE0" w:rsidP="0072197B">
      <w:pPr>
        <w:spacing w:before="120"/>
        <w:rPr>
          <w:szCs w:val="22"/>
        </w:rPr>
      </w:pPr>
      <w:r w:rsidRPr="000B485C">
        <w:rPr>
          <w:szCs w:val="22"/>
        </w:rPr>
        <w:t xml:space="preserve">In </w:t>
      </w:r>
      <w:r w:rsidR="00E6284F">
        <w:rPr>
          <w:szCs w:val="22"/>
        </w:rPr>
        <w:t>the comparison</w:t>
      </w:r>
      <w:r w:rsidRPr="000B485C">
        <w:rPr>
          <w:szCs w:val="22"/>
        </w:rPr>
        <w:t xml:space="preserve">, the </w:t>
      </w:r>
      <w:r w:rsidR="00E6284F">
        <w:rPr>
          <w:szCs w:val="22"/>
        </w:rPr>
        <w:t>individual</w:t>
      </w:r>
      <w:r w:rsidRPr="000B485C">
        <w:rPr>
          <w:szCs w:val="22"/>
        </w:rPr>
        <w:t xml:space="preserve"> has </w:t>
      </w:r>
      <w:r w:rsidR="00E6284F">
        <w:rPr>
          <w:szCs w:val="22"/>
        </w:rPr>
        <w:t xml:space="preserve">contributed </w:t>
      </w:r>
      <w:r w:rsidRPr="000B485C">
        <w:rPr>
          <w:szCs w:val="22"/>
        </w:rPr>
        <w:t>$</w:t>
      </w:r>
      <w:r w:rsidR="009F31E2">
        <w:rPr>
          <w:szCs w:val="22"/>
        </w:rPr>
        <w:t>4,125</w:t>
      </w:r>
      <w:r w:rsidRPr="000B485C">
        <w:rPr>
          <w:szCs w:val="22"/>
        </w:rPr>
        <w:t xml:space="preserve"> </w:t>
      </w:r>
      <w:r w:rsidR="00E6284F">
        <w:rPr>
          <w:szCs w:val="22"/>
        </w:rPr>
        <w:t>to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E6284F">
        <w:rPr>
          <w:szCs w:val="22"/>
        </w:rPr>
        <w:t>;</w:t>
      </w:r>
      <w:r w:rsidRPr="000B485C">
        <w:rPr>
          <w:szCs w:val="22"/>
        </w:rPr>
        <w:t xml:space="preserve"> </w:t>
      </w:r>
      <w:r w:rsidR="00E6284F">
        <w:rPr>
          <w:szCs w:val="22"/>
        </w:rPr>
        <w:t>that amount</w:t>
      </w:r>
      <w:r w:rsidRPr="000B485C">
        <w:rPr>
          <w:szCs w:val="22"/>
        </w:rPr>
        <w:t xml:space="preserve"> is the $</w:t>
      </w:r>
      <w:r w:rsidR="0088589A">
        <w:rPr>
          <w:szCs w:val="22"/>
        </w:rPr>
        <w:t>5</w:t>
      </w:r>
      <w:r w:rsidRPr="000B485C">
        <w:rPr>
          <w:szCs w:val="22"/>
        </w:rPr>
        <w:t>,</w:t>
      </w:r>
      <w:r w:rsidR="009F31E2">
        <w:rPr>
          <w:szCs w:val="22"/>
        </w:rPr>
        <w:t>5</w:t>
      </w:r>
      <w:r w:rsidRPr="000B485C">
        <w:rPr>
          <w:szCs w:val="22"/>
        </w:rPr>
        <w:t xml:space="preserve">00 that would have </w:t>
      </w:r>
      <w:r w:rsidR="00E6284F">
        <w:rPr>
          <w:szCs w:val="22"/>
        </w:rPr>
        <w:t>contributed to</w:t>
      </w:r>
      <w:r w:rsidRPr="000B485C">
        <w:rPr>
          <w:szCs w:val="22"/>
        </w:rPr>
        <w:t xml:space="preserve">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reduced by the taxes due in </w:t>
      </w:r>
      <w:r w:rsidR="00E6284F">
        <w:rPr>
          <w:szCs w:val="22"/>
        </w:rPr>
        <w:t xml:space="preserve">the individual’s </w:t>
      </w:r>
      <w:r w:rsidRPr="000B485C">
        <w:rPr>
          <w:szCs w:val="22"/>
        </w:rPr>
        <w:t>2</w:t>
      </w:r>
      <w:r w:rsidR="00E6284F">
        <w:rPr>
          <w:szCs w:val="22"/>
        </w:rPr>
        <w:t>5 percent</w:t>
      </w:r>
      <w:r w:rsidRPr="000B485C">
        <w:rPr>
          <w:szCs w:val="22"/>
        </w:rPr>
        <w:t xml:space="preserve"> tax bracket.</w:t>
      </w:r>
    </w:p>
    <w:p w14:paraId="61438BA8" w14:textId="77777777" w:rsidR="00497A23" w:rsidRDefault="00434CE0" w:rsidP="0072197B">
      <w:pPr>
        <w:spacing w:before="120"/>
        <w:rPr>
          <w:szCs w:val="22"/>
        </w:rPr>
      </w:pPr>
      <w:r w:rsidRPr="000B485C">
        <w:rPr>
          <w:szCs w:val="22"/>
        </w:rPr>
        <w:t>There is one factor</w:t>
      </w:r>
      <w:r w:rsidR="00E6284F">
        <w:rPr>
          <w:szCs w:val="22"/>
        </w:rPr>
        <w:t>, however</w:t>
      </w:r>
      <w:r w:rsidR="00DD3A95">
        <w:rPr>
          <w:szCs w:val="22"/>
        </w:rPr>
        <w:t>,</w:t>
      </w:r>
      <w:r w:rsidRPr="000B485C">
        <w:rPr>
          <w:szCs w:val="22"/>
        </w:rPr>
        <w:t xml:space="preserve"> that may make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more </w:t>
      </w:r>
      <w:r w:rsidR="00497A23">
        <w:rPr>
          <w:szCs w:val="22"/>
        </w:rPr>
        <w:t xml:space="preserve">advantageous </w:t>
      </w:r>
      <w:r w:rsidR="00E6284F">
        <w:rPr>
          <w:szCs w:val="22"/>
        </w:rPr>
        <w:t>than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E6284F">
        <w:rPr>
          <w:szCs w:val="22"/>
        </w:rPr>
        <w:t xml:space="preserve"> in any particular case</w:t>
      </w:r>
      <w:r w:rsidRPr="000B485C">
        <w:rPr>
          <w:szCs w:val="22"/>
        </w:rPr>
        <w:t>.</w:t>
      </w:r>
      <w:r w:rsidR="00297ACB">
        <w:rPr>
          <w:szCs w:val="22"/>
        </w:rPr>
        <w:t xml:space="preserve"> </w:t>
      </w:r>
      <w:r w:rsidR="00497A23">
        <w:rPr>
          <w:szCs w:val="22"/>
        </w:rPr>
        <w:t>Specifically, t</w:t>
      </w:r>
      <w:r w:rsidR="00E6284F">
        <w:rPr>
          <w:szCs w:val="22"/>
        </w:rPr>
        <w:t>he Roth IRA owner</w:t>
      </w:r>
      <w:r w:rsidRPr="000B485C">
        <w:rPr>
          <w:szCs w:val="22"/>
        </w:rPr>
        <w:t xml:space="preserve"> isn’t limited to a contribution o</w:t>
      </w:r>
      <w:r w:rsidR="00E6284F">
        <w:rPr>
          <w:szCs w:val="22"/>
        </w:rPr>
        <w:t xml:space="preserve">f the </w:t>
      </w:r>
      <w:r w:rsidR="00E6284F" w:rsidRPr="00E6284F">
        <w:rPr>
          <w:i/>
          <w:szCs w:val="22"/>
        </w:rPr>
        <w:t>after-tax equivalent</w:t>
      </w:r>
      <w:r w:rsidR="00E32BC1">
        <w:rPr>
          <w:szCs w:val="22"/>
        </w:rPr>
        <w:t xml:space="preserve"> of $</w:t>
      </w:r>
      <w:r w:rsidR="00022B6C">
        <w:rPr>
          <w:szCs w:val="22"/>
        </w:rPr>
        <w:t>5</w:t>
      </w:r>
      <w:r w:rsidRPr="000B485C">
        <w:rPr>
          <w:szCs w:val="22"/>
        </w:rPr>
        <w:t>,</w:t>
      </w:r>
      <w:r w:rsidR="009F31E2">
        <w:rPr>
          <w:szCs w:val="22"/>
        </w:rPr>
        <w:t>5</w:t>
      </w:r>
      <w:r w:rsidRPr="000B485C">
        <w:rPr>
          <w:szCs w:val="22"/>
        </w:rPr>
        <w:t>00 of gross earnings</w:t>
      </w:r>
      <w:r w:rsidR="00E32BC1">
        <w:rPr>
          <w:szCs w:val="22"/>
        </w:rPr>
        <w:t xml:space="preserve"> in </w:t>
      </w:r>
      <w:r w:rsidR="00E84C06">
        <w:rPr>
          <w:szCs w:val="22"/>
        </w:rPr>
        <w:t>201</w:t>
      </w:r>
      <w:r w:rsidR="008325D4">
        <w:rPr>
          <w:szCs w:val="22"/>
        </w:rPr>
        <w:t>5</w:t>
      </w:r>
      <w:r w:rsidRPr="000B485C">
        <w:rPr>
          <w:szCs w:val="22"/>
        </w:rPr>
        <w:t>.</w:t>
      </w:r>
      <w:r w:rsidR="00297ACB">
        <w:rPr>
          <w:szCs w:val="22"/>
        </w:rPr>
        <w:t xml:space="preserve"> </w:t>
      </w:r>
      <w:r w:rsidR="00E6284F">
        <w:rPr>
          <w:szCs w:val="22"/>
        </w:rPr>
        <w:t>Instead,</w:t>
      </w:r>
      <w:r w:rsidRPr="000B485C">
        <w:rPr>
          <w:szCs w:val="22"/>
        </w:rPr>
        <w:t xml:space="preserve"> he or she can </w:t>
      </w:r>
      <w:r w:rsidR="00E6284F">
        <w:rPr>
          <w:szCs w:val="22"/>
        </w:rPr>
        <w:t>contribute the entire</w:t>
      </w:r>
      <w:r w:rsidRPr="000B485C">
        <w:rPr>
          <w:szCs w:val="22"/>
        </w:rPr>
        <w:t xml:space="preserve"> $</w:t>
      </w:r>
      <w:r w:rsidR="00022B6C">
        <w:rPr>
          <w:szCs w:val="22"/>
        </w:rPr>
        <w:t>5</w:t>
      </w:r>
      <w:r w:rsidRPr="000B485C">
        <w:rPr>
          <w:szCs w:val="22"/>
        </w:rPr>
        <w:t>,</w:t>
      </w:r>
      <w:r w:rsidR="009F31E2">
        <w:rPr>
          <w:szCs w:val="22"/>
        </w:rPr>
        <w:t>5</w:t>
      </w:r>
      <w:r w:rsidRPr="000B485C">
        <w:rPr>
          <w:szCs w:val="22"/>
        </w:rPr>
        <w:t>00</w:t>
      </w:r>
      <w:r w:rsidR="00E6284F">
        <w:rPr>
          <w:szCs w:val="22"/>
        </w:rPr>
        <w:t xml:space="preserve"> to a Roth IRA</w:t>
      </w:r>
      <w:r w:rsidRPr="000B485C">
        <w:rPr>
          <w:szCs w:val="22"/>
        </w:rPr>
        <w:t>.</w:t>
      </w:r>
      <w:r w:rsidR="00297ACB">
        <w:rPr>
          <w:szCs w:val="22"/>
        </w:rPr>
        <w:t xml:space="preserve"> </w:t>
      </w:r>
      <w:r w:rsidRPr="000B485C">
        <w:rPr>
          <w:szCs w:val="22"/>
        </w:rPr>
        <w:t xml:space="preserve">For </w:t>
      </w:r>
      <w:r w:rsidR="00E6284F">
        <w:rPr>
          <w:szCs w:val="22"/>
        </w:rPr>
        <w:t>the 25 percent t</w:t>
      </w:r>
      <w:r w:rsidRPr="000B485C">
        <w:rPr>
          <w:szCs w:val="22"/>
        </w:rPr>
        <w:t xml:space="preserve">ax bracket </w:t>
      </w:r>
      <w:r w:rsidR="00E6284F">
        <w:rPr>
          <w:szCs w:val="22"/>
        </w:rPr>
        <w:t xml:space="preserve">individual, </w:t>
      </w:r>
      <w:r w:rsidRPr="000B485C">
        <w:rPr>
          <w:szCs w:val="22"/>
        </w:rPr>
        <w:t xml:space="preserve">that </w:t>
      </w:r>
      <w:r w:rsidR="00E32BC1">
        <w:rPr>
          <w:szCs w:val="22"/>
        </w:rPr>
        <w:t>$</w:t>
      </w:r>
      <w:r w:rsidR="00022B6C">
        <w:rPr>
          <w:szCs w:val="22"/>
        </w:rPr>
        <w:t>5</w:t>
      </w:r>
      <w:r w:rsidR="00497A23">
        <w:rPr>
          <w:szCs w:val="22"/>
        </w:rPr>
        <w:t>,</w:t>
      </w:r>
      <w:r w:rsidR="009F31E2">
        <w:rPr>
          <w:szCs w:val="22"/>
        </w:rPr>
        <w:t>5</w:t>
      </w:r>
      <w:r w:rsidR="00497A23">
        <w:rPr>
          <w:szCs w:val="22"/>
        </w:rPr>
        <w:t xml:space="preserve">00 after-tax Roth IRA contribution </w:t>
      </w:r>
      <w:r w:rsidRPr="000B485C">
        <w:rPr>
          <w:szCs w:val="22"/>
        </w:rPr>
        <w:t>amount</w:t>
      </w:r>
      <w:r w:rsidR="00E6284F">
        <w:rPr>
          <w:szCs w:val="22"/>
        </w:rPr>
        <w:t>s</w:t>
      </w:r>
      <w:r w:rsidRPr="000B485C">
        <w:rPr>
          <w:szCs w:val="22"/>
        </w:rPr>
        <w:t xml:space="preserve"> to </w:t>
      </w:r>
      <w:r w:rsidR="00E32BC1">
        <w:rPr>
          <w:szCs w:val="22"/>
        </w:rPr>
        <w:t>$</w:t>
      </w:r>
      <w:r w:rsidR="009F31E2">
        <w:rPr>
          <w:szCs w:val="22"/>
        </w:rPr>
        <w:t>7,333</w:t>
      </w:r>
      <w:r w:rsidR="00E6284F">
        <w:rPr>
          <w:szCs w:val="22"/>
        </w:rPr>
        <w:t xml:space="preserve"> </w:t>
      </w:r>
      <w:r w:rsidRPr="000B485C">
        <w:rPr>
          <w:szCs w:val="22"/>
        </w:rPr>
        <w:t>in pre-tax earnings</w:t>
      </w:r>
      <w:r w:rsidR="00E6284F">
        <w:rPr>
          <w:szCs w:val="22"/>
        </w:rPr>
        <w:t>.</w:t>
      </w:r>
      <w:r w:rsidR="00A5334A">
        <w:rPr>
          <w:szCs w:val="22"/>
        </w:rPr>
        <w:t xml:space="preserve"> ($</w:t>
      </w:r>
      <w:r w:rsidR="009F31E2">
        <w:rPr>
          <w:szCs w:val="22"/>
        </w:rPr>
        <w:t>7,333</w:t>
      </w:r>
      <w:r w:rsidR="00A5334A">
        <w:rPr>
          <w:szCs w:val="22"/>
        </w:rPr>
        <w:t xml:space="preserve"> x .75 = $5,</w:t>
      </w:r>
      <w:r w:rsidR="009F31E2">
        <w:rPr>
          <w:szCs w:val="22"/>
        </w:rPr>
        <w:t>5</w:t>
      </w:r>
      <w:r w:rsidR="00A5334A">
        <w:rPr>
          <w:szCs w:val="22"/>
        </w:rPr>
        <w:t>00)</w:t>
      </w:r>
    </w:p>
    <w:p w14:paraId="7751A93C" w14:textId="77777777" w:rsidR="00434CE0" w:rsidRPr="000B485C" w:rsidRDefault="00493461" w:rsidP="0072197B">
      <w:pPr>
        <w:spacing w:before="120"/>
        <w:rPr>
          <w:szCs w:val="22"/>
        </w:rPr>
      </w:pPr>
      <w:r w:rsidRPr="000B485C">
        <w:rPr>
          <w:szCs w:val="22"/>
        </w:rPr>
        <w:t xml:space="preserve">If </w:t>
      </w:r>
      <w:r>
        <w:rPr>
          <w:szCs w:val="22"/>
        </w:rPr>
        <w:t>the in</w:t>
      </w:r>
      <w:r w:rsidR="00E32BC1">
        <w:rPr>
          <w:szCs w:val="22"/>
        </w:rPr>
        <w:t>dividual contributed the full $</w:t>
      </w:r>
      <w:r w:rsidR="00022B6C">
        <w:rPr>
          <w:szCs w:val="22"/>
        </w:rPr>
        <w:t>5,</w:t>
      </w:r>
      <w:r w:rsidR="009F31E2">
        <w:rPr>
          <w:szCs w:val="22"/>
        </w:rPr>
        <w:t>5</w:t>
      </w:r>
      <w:r w:rsidR="00022B6C">
        <w:rPr>
          <w:szCs w:val="22"/>
        </w:rPr>
        <w:t>00</w:t>
      </w:r>
      <w:r w:rsidRPr="000B485C">
        <w:rPr>
          <w:szCs w:val="22"/>
        </w:rPr>
        <w:t xml:space="preserve"> to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w:t>
      </w:r>
      <w:r>
        <w:rPr>
          <w:szCs w:val="22"/>
        </w:rPr>
        <w:t>the</w:t>
      </w:r>
      <w:r w:rsidRPr="000B485C">
        <w:rPr>
          <w:szCs w:val="22"/>
        </w:rPr>
        <w:t xml:space="preserve"> results</w:t>
      </w:r>
      <w:r>
        <w:rPr>
          <w:szCs w:val="22"/>
        </w:rPr>
        <w:t>, using</w:t>
      </w:r>
      <w:r w:rsidRPr="000B485C">
        <w:rPr>
          <w:szCs w:val="22"/>
        </w:rPr>
        <w:t xml:space="preserve"> the assumptions that we used earlier</w:t>
      </w:r>
      <w:r>
        <w:rPr>
          <w:szCs w:val="22"/>
        </w:rPr>
        <w:t>,</w:t>
      </w:r>
      <w:r w:rsidRPr="000B485C">
        <w:rPr>
          <w:szCs w:val="22"/>
        </w:rPr>
        <w:t xml:space="preserve"> could be a great deal different.</w:t>
      </w:r>
      <w:r w:rsidR="00297ACB">
        <w:rPr>
          <w:szCs w:val="22"/>
        </w:rPr>
        <w:t xml:space="preserve"> </w:t>
      </w:r>
      <w:r>
        <w:rPr>
          <w:szCs w:val="22"/>
        </w:rPr>
        <w:t>Since t</w:t>
      </w:r>
      <w:r w:rsidR="00434CE0" w:rsidRPr="00493461">
        <w:rPr>
          <w:szCs w:val="22"/>
        </w:rPr>
        <w:t xml:space="preserve">his concept may be a little difficult </w:t>
      </w:r>
      <w:r>
        <w:rPr>
          <w:szCs w:val="22"/>
        </w:rPr>
        <w:t>to grasp, let’s consider an example.</w:t>
      </w:r>
    </w:p>
    <w:p w14:paraId="12D650A5" w14:textId="77777777" w:rsidR="0063341F" w:rsidRDefault="00FD57BB" w:rsidP="0072197B">
      <w:pPr>
        <w:spacing w:before="120"/>
        <w:rPr>
          <w:szCs w:val="22"/>
        </w:rPr>
      </w:pPr>
      <w:r>
        <w:rPr>
          <w:szCs w:val="22"/>
        </w:rPr>
        <w:t>Suppose that the indi</w:t>
      </w:r>
      <w:r w:rsidR="00E32BC1">
        <w:rPr>
          <w:szCs w:val="22"/>
        </w:rPr>
        <w:t>vidual contributed the entire $</w:t>
      </w:r>
      <w:r w:rsidR="00022B6C">
        <w:rPr>
          <w:szCs w:val="22"/>
        </w:rPr>
        <w:t>5,</w:t>
      </w:r>
      <w:r w:rsidR="009F31E2">
        <w:rPr>
          <w:szCs w:val="22"/>
        </w:rPr>
        <w:t>5</w:t>
      </w:r>
      <w:r w:rsidR="00022B6C">
        <w:rPr>
          <w:szCs w:val="22"/>
        </w:rPr>
        <w:t>00</w:t>
      </w:r>
      <w:r>
        <w:rPr>
          <w:szCs w:val="22"/>
        </w:rPr>
        <w:t xml:space="preserve"> 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or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Assuming that the account owner is in a 25 percent tax bracket and earns a consistent </w:t>
      </w:r>
      <w:r w:rsidR="0088589A">
        <w:rPr>
          <w:szCs w:val="22"/>
        </w:rPr>
        <w:t>6</w:t>
      </w:r>
      <w:r>
        <w:rPr>
          <w:szCs w:val="22"/>
        </w:rPr>
        <w:t xml:space="preserve"> percent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Pr>
          <w:szCs w:val="22"/>
        </w:rPr>
        <w:t xml:space="preserve"> on both of the accounts each year, the difference </w:t>
      </w:r>
      <w:r w:rsidR="00497A23">
        <w:rPr>
          <w:szCs w:val="22"/>
        </w:rPr>
        <w:t xml:space="preserve">in the </w:t>
      </w:r>
      <w:r w:rsidR="000F56BF">
        <w:rPr>
          <w:szCs w:val="22"/>
        </w:rPr>
        <w:t xml:space="preserve">distributed </w:t>
      </w:r>
      <w:r w:rsidR="00F14977" w:rsidRPr="00F14977">
        <w:rPr>
          <w:b/>
          <w:i/>
          <w:szCs w:val="22"/>
        </w:rPr>
        <w:t>after-tax</w:t>
      </w:r>
      <w:r w:rsidR="00497A23">
        <w:rPr>
          <w:szCs w:val="22"/>
        </w:rPr>
        <w:t xml:space="preserve"> value </w:t>
      </w:r>
      <w:r>
        <w:rPr>
          <w:szCs w:val="22"/>
        </w:rPr>
        <w:t>would look like this:</w:t>
      </w:r>
    </w:p>
    <w:p w14:paraId="42E08882" w14:textId="77777777" w:rsidR="007B0176" w:rsidRDefault="007B0176">
      <w:r>
        <w:rPr>
          <w:b/>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40"/>
        <w:gridCol w:w="1910"/>
        <w:gridCol w:w="1760"/>
        <w:gridCol w:w="1665"/>
        <w:gridCol w:w="1535"/>
      </w:tblGrid>
      <w:tr w:rsidR="0084715E" w:rsidRPr="006D389B" w14:paraId="7F393CB3" w14:textId="77777777" w:rsidTr="006D389B">
        <w:trPr>
          <w:trHeight w:val="258"/>
          <w:jc w:val="center"/>
        </w:trPr>
        <w:tc>
          <w:tcPr>
            <w:tcW w:w="7710" w:type="dxa"/>
            <w:gridSpan w:val="5"/>
            <w:tcBorders>
              <w:top w:val="single" w:sz="12" w:space="0" w:color="auto"/>
              <w:left w:val="single" w:sz="12" w:space="0" w:color="auto"/>
              <w:bottom w:val="single" w:sz="12" w:space="0" w:color="auto"/>
              <w:right w:val="single" w:sz="12" w:space="0" w:color="auto"/>
              <w:tl2br w:val="nil"/>
              <w:tr2bl w:val="nil"/>
            </w:tcBorders>
            <w:shd w:val="clear" w:color="auto" w:fill="E3F4FF"/>
          </w:tcPr>
          <w:p w14:paraId="3AE1B067" w14:textId="77777777" w:rsidR="0084715E" w:rsidRPr="006D389B" w:rsidRDefault="003911A9" w:rsidP="009F31E2">
            <w:pPr>
              <w:pStyle w:val="WTableHeaderChar"/>
              <w:rPr>
                <w:rFonts w:cs="Arial"/>
              </w:rPr>
            </w:pPr>
            <w:r>
              <w:lastRenderedPageBreak/>
              <w:t>$</w:t>
            </w:r>
            <w:r w:rsidR="00333291">
              <w:t>5</w:t>
            </w:r>
            <w:r w:rsidR="0084715E" w:rsidRPr="001C63CB">
              <w:t>,</w:t>
            </w:r>
            <w:r w:rsidR="009F31E2">
              <w:t>5</w:t>
            </w:r>
            <w:r w:rsidR="0084715E" w:rsidRPr="001C63CB">
              <w:t>00 Annual Contribution</w:t>
            </w:r>
            <w:r w:rsidR="0084715E">
              <w:t xml:space="preserve">, </w:t>
            </w:r>
            <w:r w:rsidR="0084715E" w:rsidRPr="001C63CB">
              <w:t>25% Tax Bracket</w:t>
            </w:r>
            <w:r w:rsidR="0084715E">
              <w:t xml:space="preserve">, </w:t>
            </w:r>
            <w:r w:rsidR="0088589A">
              <w:t>6</w:t>
            </w:r>
            <w:r w:rsidR="0084715E" w:rsidRPr="006D389B">
              <w:rPr>
                <w:rFonts w:cs="Arial"/>
              </w:rPr>
              <w:t>% Annual Interest</w:t>
            </w:r>
          </w:p>
        </w:tc>
      </w:tr>
      <w:tr w:rsidR="0084715E" w:rsidRPr="006D389B" w14:paraId="0BF3C6CD" w14:textId="77777777" w:rsidTr="006D389B">
        <w:trPr>
          <w:trHeight w:val="600"/>
          <w:jc w:val="center"/>
        </w:trPr>
        <w:tc>
          <w:tcPr>
            <w:tcW w:w="840" w:type="dxa"/>
            <w:tcBorders>
              <w:bottom w:val="single" w:sz="6" w:space="0" w:color="auto"/>
              <w:right w:val="single" w:sz="6" w:space="0" w:color="auto"/>
            </w:tcBorders>
          </w:tcPr>
          <w:p w14:paraId="51DAA4B3" w14:textId="77777777" w:rsidR="0084715E" w:rsidRPr="008875DB" w:rsidRDefault="0084715E" w:rsidP="0084715E">
            <w:pPr>
              <w:pStyle w:val="wTableSections"/>
            </w:pPr>
            <w:r w:rsidRPr="008875DB">
              <w:t>Years</w:t>
            </w:r>
          </w:p>
        </w:tc>
        <w:tc>
          <w:tcPr>
            <w:tcW w:w="1910" w:type="dxa"/>
            <w:tcBorders>
              <w:left w:val="single" w:sz="6" w:space="0" w:color="auto"/>
              <w:bottom w:val="single" w:sz="6" w:space="0" w:color="auto"/>
              <w:right w:val="single" w:sz="6" w:space="0" w:color="auto"/>
            </w:tcBorders>
          </w:tcPr>
          <w:p w14:paraId="4BED42AA" w14:textId="77777777" w:rsidR="0084715E" w:rsidRPr="008875DB" w:rsidRDefault="0084715E" w:rsidP="000F56BF">
            <w:pPr>
              <w:pStyle w:val="wTableSections"/>
            </w:pPr>
            <w:r w:rsidRPr="008875DB">
              <w:t>Traditional IRA</w:t>
            </w:r>
            <w:r>
              <w:br/>
            </w:r>
            <w:r w:rsidR="000F56BF">
              <w:t>After-Tax</w:t>
            </w:r>
            <w:r w:rsidR="000F56BF" w:rsidRPr="008875DB">
              <w:t xml:space="preserve"> </w:t>
            </w:r>
            <w:r w:rsidRPr="008875DB">
              <w:t>Value*</w:t>
            </w:r>
          </w:p>
        </w:tc>
        <w:tc>
          <w:tcPr>
            <w:tcW w:w="1760" w:type="dxa"/>
            <w:tcBorders>
              <w:left w:val="single" w:sz="6" w:space="0" w:color="auto"/>
              <w:bottom w:val="single" w:sz="6" w:space="0" w:color="auto"/>
              <w:right w:val="single" w:sz="6" w:space="0" w:color="auto"/>
            </w:tcBorders>
          </w:tcPr>
          <w:p w14:paraId="68235337" w14:textId="77777777" w:rsidR="0084715E" w:rsidRPr="008875DB" w:rsidRDefault="0084715E" w:rsidP="000F56BF">
            <w:pPr>
              <w:pStyle w:val="wTableSections"/>
            </w:pPr>
            <w:r w:rsidRPr="008875DB">
              <w:t>Roth IRA</w:t>
            </w:r>
            <w:r w:rsidR="00A95039">
              <w:fldChar w:fldCharType="begin"/>
            </w:r>
            <w:r w:rsidR="00293611">
              <w:instrText xml:space="preserve"> XE "</w:instrText>
            </w:r>
            <w:r w:rsidR="00293611" w:rsidRPr="00CD56BD">
              <w:instrText>Roth IRA</w:instrText>
            </w:r>
            <w:r w:rsidR="00293611">
              <w:instrText xml:space="preserve">" </w:instrText>
            </w:r>
            <w:r w:rsidR="00A95039">
              <w:fldChar w:fldCharType="end"/>
            </w:r>
            <w:r>
              <w:br/>
            </w:r>
            <w:r w:rsidR="000F56BF">
              <w:rPr>
                <w:rStyle w:val="StyleArial11ptBoldChar"/>
                <w:rFonts w:cs="Times New Roman"/>
                <w:b/>
                <w:sz w:val="20"/>
              </w:rPr>
              <w:t>After-Tax</w:t>
            </w:r>
            <w:r w:rsidRPr="00A5334A">
              <w:rPr>
                <w:rStyle w:val="StyleArial11ptBoldChar"/>
                <w:rFonts w:cs="Times New Roman"/>
                <w:b/>
                <w:sz w:val="20"/>
              </w:rPr>
              <w:t xml:space="preserve"> Value</w:t>
            </w:r>
            <w:r w:rsidRPr="00A219FB">
              <w:t>‡</w:t>
            </w:r>
          </w:p>
        </w:tc>
        <w:tc>
          <w:tcPr>
            <w:tcW w:w="1665" w:type="dxa"/>
            <w:tcBorders>
              <w:left w:val="single" w:sz="6" w:space="0" w:color="auto"/>
              <w:bottom w:val="single" w:sz="6" w:space="0" w:color="auto"/>
              <w:right w:val="single" w:sz="6" w:space="0" w:color="auto"/>
            </w:tcBorders>
          </w:tcPr>
          <w:p w14:paraId="2E3C4E8E" w14:textId="77777777" w:rsidR="0084715E" w:rsidRPr="008875DB" w:rsidRDefault="0084715E" w:rsidP="0084715E">
            <w:pPr>
              <w:pStyle w:val="wTableSections"/>
            </w:pPr>
            <w:r w:rsidRPr="008875DB">
              <w:t>Dollar</w:t>
            </w:r>
            <w:r>
              <w:br/>
            </w:r>
            <w:r w:rsidRPr="008875DB">
              <w:t>Difference</w:t>
            </w:r>
          </w:p>
        </w:tc>
        <w:tc>
          <w:tcPr>
            <w:tcW w:w="1535" w:type="dxa"/>
            <w:tcBorders>
              <w:left w:val="single" w:sz="6" w:space="0" w:color="auto"/>
              <w:bottom w:val="single" w:sz="6" w:space="0" w:color="auto"/>
            </w:tcBorders>
          </w:tcPr>
          <w:p w14:paraId="5A9E74CD" w14:textId="77777777" w:rsidR="0084715E" w:rsidRPr="008875DB" w:rsidRDefault="0084715E" w:rsidP="0084715E">
            <w:pPr>
              <w:pStyle w:val="wTableSections"/>
            </w:pPr>
            <w:r w:rsidRPr="008875DB">
              <w:t>Percentage</w:t>
            </w:r>
            <w:r>
              <w:br/>
            </w:r>
            <w:r w:rsidRPr="008875DB">
              <w:t>Difference</w:t>
            </w:r>
          </w:p>
        </w:tc>
      </w:tr>
      <w:tr w:rsidR="009F31E2" w14:paraId="1825F80B" w14:textId="77777777" w:rsidTr="006D389B">
        <w:trPr>
          <w:jc w:val="center"/>
        </w:trPr>
        <w:tc>
          <w:tcPr>
            <w:tcW w:w="840" w:type="dxa"/>
            <w:tcBorders>
              <w:top w:val="single" w:sz="6" w:space="0" w:color="auto"/>
              <w:bottom w:val="single" w:sz="6" w:space="0" w:color="auto"/>
              <w:right w:val="single" w:sz="6" w:space="0" w:color="auto"/>
            </w:tcBorders>
            <w:vAlign w:val="center"/>
          </w:tcPr>
          <w:p w14:paraId="221E5049" w14:textId="77777777" w:rsidR="009F31E2" w:rsidRDefault="009F31E2" w:rsidP="006D389B">
            <w:pPr>
              <w:pStyle w:val="wTableNormal"/>
              <w:ind w:left="-203"/>
              <w:jc w:val="center"/>
            </w:pPr>
            <w:r w:rsidRPr="00A7259E">
              <w:t>5</w:t>
            </w:r>
          </w:p>
        </w:tc>
        <w:tc>
          <w:tcPr>
            <w:tcW w:w="1910" w:type="dxa"/>
            <w:tcBorders>
              <w:top w:val="single" w:sz="6" w:space="0" w:color="auto"/>
              <w:left w:val="single" w:sz="6" w:space="0" w:color="auto"/>
              <w:bottom w:val="single" w:sz="6" w:space="0" w:color="auto"/>
              <w:right w:val="single" w:sz="6" w:space="0" w:color="auto"/>
            </w:tcBorders>
            <w:vAlign w:val="center"/>
          </w:tcPr>
          <w:p w14:paraId="7FFAC1A1" w14:textId="77777777" w:rsidR="009F31E2" w:rsidRDefault="009F31E2" w:rsidP="006D389B">
            <w:pPr>
              <w:pStyle w:val="wTableNormal"/>
              <w:ind w:right="537"/>
              <w:jc w:val="right"/>
            </w:pPr>
            <w:r w:rsidRPr="00982ABF">
              <w:t>$</w:t>
            </w:r>
            <w:r>
              <w:t>24,648</w:t>
            </w:r>
          </w:p>
        </w:tc>
        <w:tc>
          <w:tcPr>
            <w:tcW w:w="1760" w:type="dxa"/>
            <w:tcBorders>
              <w:top w:val="single" w:sz="6" w:space="0" w:color="auto"/>
              <w:left w:val="single" w:sz="6" w:space="0" w:color="auto"/>
              <w:bottom w:val="single" w:sz="6" w:space="0" w:color="auto"/>
              <w:right w:val="single" w:sz="6" w:space="0" w:color="auto"/>
            </w:tcBorders>
            <w:vAlign w:val="center"/>
          </w:tcPr>
          <w:p w14:paraId="51E337C5" w14:textId="77777777" w:rsidR="009F31E2" w:rsidRDefault="009F31E2" w:rsidP="006D389B">
            <w:pPr>
              <w:pStyle w:val="wTableNormal"/>
              <w:ind w:right="537"/>
              <w:jc w:val="right"/>
            </w:pPr>
            <w:r w:rsidRPr="003F1CDB">
              <w:t>$</w:t>
            </w:r>
            <w:r>
              <w:t>32,864</w:t>
            </w:r>
          </w:p>
        </w:tc>
        <w:tc>
          <w:tcPr>
            <w:tcW w:w="1665" w:type="dxa"/>
            <w:tcBorders>
              <w:top w:val="single" w:sz="6" w:space="0" w:color="auto"/>
              <w:left w:val="single" w:sz="6" w:space="0" w:color="auto"/>
              <w:bottom w:val="single" w:sz="6" w:space="0" w:color="auto"/>
              <w:right w:val="single" w:sz="6" w:space="0" w:color="auto"/>
            </w:tcBorders>
            <w:vAlign w:val="center"/>
          </w:tcPr>
          <w:p w14:paraId="14DF6B31" w14:textId="77777777" w:rsidR="009F31E2" w:rsidRDefault="009F31E2" w:rsidP="006D389B">
            <w:pPr>
              <w:pStyle w:val="wTableNormal"/>
              <w:ind w:right="332"/>
              <w:jc w:val="right"/>
            </w:pPr>
            <w:r w:rsidRPr="003F1CDB">
              <w:t>$</w:t>
            </w:r>
            <w:r>
              <w:t>8,216</w:t>
            </w:r>
          </w:p>
        </w:tc>
        <w:tc>
          <w:tcPr>
            <w:tcW w:w="1535" w:type="dxa"/>
            <w:tcBorders>
              <w:top w:val="single" w:sz="6" w:space="0" w:color="auto"/>
              <w:left w:val="single" w:sz="6" w:space="0" w:color="auto"/>
              <w:bottom w:val="single" w:sz="6" w:space="0" w:color="auto"/>
            </w:tcBorders>
          </w:tcPr>
          <w:p w14:paraId="5A1FFC7C" w14:textId="77777777" w:rsidR="009F31E2" w:rsidRPr="00A7259E" w:rsidRDefault="009F31E2" w:rsidP="006D389B">
            <w:pPr>
              <w:pStyle w:val="wTableNormal"/>
              <w:jc w:val="center"/>
            </w:pPr>
            <w:r w:rsidRPr="00A7259E">
              <w:t>33.3%</w:t>
            </w:r>
          </w:p>
        </w:tc>
      </w:tr>
      <w:tr w:rsidR="009F31E2" w14:paraId="5A3B728B" w14:textId="77777777" w:rsidTr="006D389B">
        <w:trPr>
          <w:jc w:val="center"/>
        </w:trPr>
        <w:tc>
          <w:tcPr>
            <w:tcW w:w="840" w:type="dxa"/>
            <w:tcBorders>
              <w:top w:val="single" w:sz="6" w:space="0" w:color="auto"/>
              <w:bottom w:val="single" w:sz="6" w:space="0" w:color="auto"/>
              <w:right w:val="single" w:sz="6" w:space="0" w:color="auto"/>
            </w:tcBorders>
            <w:vAlign w:val="center"/>
          </w:tcPr>
          <w:p w14:paraId="03A96D0E" w14:textId="77777777" w:rsidR="009F31E2" w:rsidRDefault="009F31E2" w:rsidP="006D389B">
            <w:pPr>
              <w:pStyle w:val="wTableNormal"/>
              <w:ind w:left="-203"/>
              <w:jc w:val="center"/>
            </w:pPr>
            <w:r w:rsidRPr="00A7259E">
              <w:t>10</w:t>
            </w:r>
          </w:p>
        </w:tc>
        <w:tc>
          <w:tcPr>
            <w:tcW w:w="1910" w:type="dxa"/>
            <w:tcBorders>
              <w:top w:val="single" w:sz="6" w:space="0" w:color="auto"/>
              <w:left w:val="single" w:sz="6" w:space="0" w:color="auto"/>
              <w:bottom w:val="single" w:sz="6" w:space="0" w:color="auto"/>
              <w:right w:val="single" w:sz="6" w:space="0" w:color="auto"/>
            </w:tcBorders>
            <w:vAlign w:val="center"/>
          </w:tcPr>
          <w:p w14:paraId="15C96843" w14:textId="77777777" w:rsidR="009F31E2" w:rsidRDefault="009F31E2" w:rsidP="006D389B">
            <w:pPr>
              <w:pStyle w:val="wTableNormal"/>
              <w:ind w:right="537"/>
              <w:jc w:val="right"/>
            </w:pPr>
            <w:r w:rsidRPr="00982ABF">
              <w:t>$</w:t>
            </w:r>
            <w:r>
              <w:t>57,633</w:t>
            </w:r>
          </w:p>
        </w:tc>
        <w:tc>
          <w:tcPr>
            <w:tcW w:w="1760" w:type="dxa"/>
            <w:tcBorders>
              <w:top w:val="single" w:sz="6" w:space="0" w:color="auto"/>
              <w:left w:val="single" w:sz="6" w:space="0" w:color="auto"/>
              <w:bottom w:val="single" w:sz="6" w:space="0" w:color="auto"/>
              <w:right w:val="single" w:sz="6" w:space="0" w:color="auto"/>
            </w:tcBorders>
            <w:vAlign w:val="center"/>
          </w:tcPr>
          <w:p w14:paraId="6AB19254" w14:textId="77777777" w:rsidR="009F31E2" w:rsidRDefault="009F31E2" w:rsidP="006D389B">
            <w:pPr>
              <w:pStyle w:val="wTableNormal"/>
              <w:ind w:right="537"/>
              <w:jc w:val="right"/>
            </w:pPr>
            <w:r w:rsidRPr="003F1CDB">
              <w:t>$</w:t>
            </w:r>
            <w:r>
              <w:t>76,844</w:t>
            </w:r>
          </w:p>
        </w:tc>
        <w:tc>
          <w:tcPr>
            <w:tcW w:w="1665" w:type="dxa"/>
            <w:tcBorders>
              <w:top w:val="single" w:sz="6" w:space="0" w:color="auto"/>
              <w:left w:val="single" w:sz="6" w:space="0" w:color="auto"/>
              <w:bottom w:val="single" w:sz="6" w:space="0" w:color="auto"/>
              <w:right w:val="single" w:sz="6" w:space="0" w:color="auto"/>
            </w:tcBorders>
            <w:vAlign w:val="center"/>
          </w:tcPr>
          <w:p w14:paraId="39477F00" w14:textId="77777777" w:rsidR="009F31E2" w:rsidRDefault="009F31E2" w:rsidP="006D389B">
            <w:pPr>
              <w:pStyle w:val="wTableNormal"/>
              <w:ind w:right="332"/>
              <w:jc w:val="right"/>
            </w:pPr>
            <w:r w:rsidRPr="003F1CDB">
              <w:t>$</w:t>
            </w:r>
            <w:r>
              <w:t>19,211</w:t>
            </w:r>
          </w:p>
        </w:tc>
        <w:tc>
          <w:tcPr>
            <w:tcW w:w="1535" w:type="dxa"/>
            <w:tcBorders>
              <w:top w:val="single" w:sz="6" w:space="0" w:color="auto"/>
              <w:left w:val="single" w:sz="6" w:space="0" w:color="auto"/>
              <w:bottom w:val="single" w:sz="6" w:space="0" w:color="auto"/>
            </w:tcBorders>
          </w:tcPr>
          <w:p w14:paraId="06DFFEB7" w14:textId="77777777" w:rsidR="009F31E2" w:rsidRPr="00A7259E" w:rsidRDefault="009F31E2" w:rsidP="006D389B">
            <w:pPr>
              <w:pStyle w:val="wTableNormal"/>
              <w:jc w:val="center"/>
            </w:pPr>
            <w:r w:rsidRPr="00A7259E">
              <w:t>33.3%</w:t>
            </w:r>
          </w:p>
        </w:tc>
      </w:tr>
      <w:tr w:rsidR="009F31E2" w14:paraId="385E271F" w14:textId="77777777" w:rsidTr="006D389B">
        <w:trPr>
          <w:jc w:val="center"/>
        </w:trPr>
        <w:tc>
          <w:tcPr>
            <w:tcW w:w="840" w:type="dxa"/>
            <w:tcBorders>
              <w:top w:val="single" w:sz="6" w:space="0" w:color="auto"/>
              <w:bottom w:val="single" w:sz="6" w:space="0" w:color="auto"/>
              <w:right w:val="single" w:sz="6" w:space="0" w:color="auto"/>
            </w:tcBorders>
            <w:vAlign w:val="center"/>
          </w:tcPr>
          <w:p w14:paraId="35A623F3" w14:textId="77777777" w:rsidR="009F31E2" w:rsidRDefault="009F31E2" w:rsidP="006D389B">
            <w:pPr>
              <w:pStyle w:val="wTableNormal"/>
              <w:ind w:left="-203"/>
              <w:jc w:val="center"/>
            </w:pPr>
            <w:r w:rsidRPr="00A7259E">
              <w:t>15</w:t>
            </w:r>
          </w:p>
        </w:tc>
        <w:tc>
          <w:tcPr>
            <w:tcW w:w="1910" w:type="dxa"/>
            <w:tcBorders>
              <w:top w:val="single" w:sz="6" w:space="0" w:color="auto"/>
              <w:left w:val="single" w:sz="6" w:space="0" w:color="auto"/>
              <w:bottom w:val="single" w:sz="6" w:space="0" w:color="auto"/>
              <w:right w:val="single" w:sz="6" w:space="0" w:color="auto"/>
            </w:tcBorders>
            <w:vAlign w:val="center"/>
          </w:tcPr>
          <w:p w14:paraId="41BDF8DE" w14:textId="77777777" w:rsidR="009F31E2" w:rsidRDefault="009F31E2" w:rsidP="006D389B">
            <w:pPr>
              <w:pStyle w:val="wTableNormal"/>
              <w:ind w:right="537"/>
              <w:jc w:val="right"/>
            </w:pPr>
            <w:r w:rsidRPr="00982ABF">
              <w:t>$</w:t>
            </w:r>
            <w:r>
              <w:t>101,774</w:t>
            </w:r>
          </w:p>
        </w:tc>
        <w:tc>
          <w:tcPr>
            <w:tcW w:w="1760" w:type="dxa"/>
            <w:tcBorders>
              <w:top w:val="single" w:sz="6" w:space="0" w:color="auto"/>
              <w:left w:val="single" w:sz="6" w:space="0" w:color="auto"/>
              <w:bottom w:val="single" w:sz="6" w:space="0" w:color="auto"/>
              <w:right w:val="single" w:sz="6" w:space="0" w:color="auto"/>
            </w:tcBorders>
            <w:vAlign w:val="center"/>
          </w:tcPr>
          <w:p w14:paraId="30014374" w14:textId="77777777" w:rsidR="009F31E2" w:rsidRDefault="009F31E2" w:rsidP="006D389B">
            <w:pPr>
              <w:pStyle w:val="wTableNormal"/>
              <w:ind w:right="537"/>
              <w:jc w:val="right"/>
            </w:pPr>
            <w:r w:rsidRPr="003F1CDB">
              <w:t>$</w:t>
            </w:r>
            <w:r>
              <w:t>135,699</w:t>
            </w:r>
          </w:p>
        </w:tc>
        <w:tc>
          <w:tcPr>
            <w:tcW w:w="1665" w:type="dxa"/>
            <w:tcBorders>
              <w:top w:val="single" w:sz="6" w:space="0" w:color="auto"/>
              <w:left w:val="single" w:sz="6" w:space="0" w:color="auto"/>
              <w:bottom w:val="single" w:sz="6" w:space="0" w:color="auto"/>
              <w:right w:val="single" w:sz="6" w:space="0" w:color="auto"/>
            </w:tcBorders>
            <w:vAlign w:val="center"/>
          </w:tcPr>
          <w:p w14:paraId="3B8574B6" w14:textId="77777777" w:rsidR="009F31E2" w:rsidRDefault="009F31E2" w:rsidP="006D389B">
            <w:pPr>
              <w:pStyle w:val="wTableNormal"/>
              <w:ind w:right="332"/>
              <w:jc w:val="right"/>
            </w:pPr>
            <w:r w:rsidRPr="003F1CDB">
              <w:t>$</w:t>
            </w:r>
            <w:r>
              <w:t>33,925</w:t>
            </w:r>
          </w:p>
        </w:tc>
        <w:tc>
          <w:tcPr>
            <w:tcW w:w="1535" w:type="dxa"/>
            <w:tcBorders>
              <w:top w:val="single" w:sz="6" w:space="0" w:color="auto"/>
              <w:left w:val="single" w:sz="6" w:space="0" w:color="auto"/>
              <w:bottom w:val="single" w:sz="6" w:space="0" w:color="auto"/>
            </w:tcBorders>
          </w:tcPr>
          <w:p w14:paraId="09DB2D1B" w14:textId="77777777" w:rsidR="009F31E2" w:rsidRPr="00A7259E" w:rsidRDefault="009F31E2" w:rsidP="006D389B">
            <w:pPr>
              <w:pStyle w:val="wTableNormal"/>
              <w:jc w:val="center"/>
            </w:pPr>
            <w:r w:rsidRPr="00A7259E">
              <w:t>33.3%</w:t>
            </w:r>
          </w:p>
        </w:tc>
      </w:tr>
      <w:tr w:rsidR="009F31E2" w14:paraId="1CBB35D5" w14:textId="77777777" w:rsidTr="006D389B">
        <w:trPr>
          <w:jc w:val="center"/>
        </w:trPr>
        <w:tc>
          <w:tcPr>
            <w:tcW w:w="840" w:type="dxa"/>
            <w:tcBorders>
              <w:top w:val="single" w:sz="6" w:space="0" w:color="auto"/>
              <w:bottom w:val="single" w:sz="6" w:space="0" w:color="auto"/>
              <w:right w:val="single" w:sz="6" w:space="0" w:color="auto"/>
            </w:tcBorders>
            <w:vAlign w:val="center"/>
          </w:tcPr>
          <w:p w14:paraId="0F0FA097" w14:textId="77777777" w:rsidR="009F31E2" w:rsidRDefault="009F31E2" w:rsidP="006D389B">
            <w:pPr>
              <w:pStyle w:val="wTableNormal"/>
              <w:ind w:left="-203"/>
              <w:jc w:val="center"/>
            </w:pPr>
            <w:r w:rsidRPr="00A7259E">
              <w:t>20</w:t>
            </w:r>
          </w:p>
        </w:tc>
        <w:tc>
          <w:tcPr>
            <w:tcW w:w="1910" w:type="dxa"/>
            <w:tcBorders>
              <w:top w:val="single" w:sz="6" w:space="0" w:color="auto"/>
              <w:left w:val="single" w:sz="6" w:space="0" w:color="auto"/>
              <w:bottom w:val="single" w:sz="6" w:space="0" w:color="auto"/>
              <w:right w:val="single" w:sz="6" w:space="0" w:color="auto"/>
            </w:tcBorders>
            <w:vAlign w:val="center"/>
          </w:tcPr>
          <w:p w14:paraId="6590698A" w14:textId="77777777" w:rsidR="009F31E2" w:rsidRDefault="009F31E2" w:rsidP="006D389B">
            <w:pPr>
              <w:pStyle w:val="wTableNormal"/>
              <w:ind w:right="537"/>
              <w:jc w:val="right"/>
            </w:pPr>
            <w:r w:rsidRPr="00982ABF">
              <w:t>$</w:t>
            </w:r>
            <w:r>
              <w:t>160,845</w:t>
            </w:r>
          </w:p>
        </w:tc>
        <w:tc>
          <w:tcPr>
            <w:tcW w:w="1760" w:type="dxa"/>
            <w:tcBorders>
              <w:top w:val="single" w:sz="6" w:space="0" w:color="auto"/>
              <w:left w:val="single" w:sz="6" w:space="0" w:color="auto"/>
              <w:bottom w:val="single" w:sz="6" w:space="0" w:color="auto"/>
              <w:right w:val="single" w:sz="6" w:space="0" w:color="auto"/>
            </w:tcBorders>
            <w:vAlign w:val="center"/>
          </w:tcPr>
          <w:p w14:paraId="702DC52C" w14:textId="77777777" w:rsidR="009F31E2" w:rsidRDefault="009F31E2" w:rsidP="006D389B">
            <w:pPr>
              <w:pStyle w:val="wTableNormal"/>
              <w:ind w:right="537"/>
              <w:jc w:val="right"/>
            </w:pPr>
            <w:r w:rsidRPr="003F1CDB">
              <w:t>$</w:t>
            </w:r>
            <w:r>
              <w:t>214,460</w:t>
            </w:r>
          </w:p>
        </w:tc>
        <w:tc>
          <w:tcPr>
            <w:tcW w:w="1665" w:type="dxa"/>
            <w:tcBorders>
              <w:top w:val="single" w:sz="6" w:space="0" w:color="auto"/>
              <w:left w:val="single" w:sz="6" w:space="0" w:color="auto"/>
              <w:bottom w:val="single" w:sz="6" w:space="0" w:color="auto"/>
              <w:right w:val="single" w:sz="6" w:space="0" w:color="auto"/>
            </w:tcBorders>
            <w:vAlign w:val="center"/>
          </w:tcPr>
          <w:p w14:paraId="26F2145C" w14:textId="77777777" w:rsidR="009F31E2" w:rsidRDefault="009F31E2" w:rsidP="006D389B">
            <w:pPr>
              <w:pStyle w:val="wTableNormal"/>
              <w:ind w:right="332"/>
              <w:jc w:val="right"/>
            </w:pPr>
            <w:r w:rsidRPr="003F1CDB">
              <w:t>$</w:t>
            </w:r>
            <w:r>
              <w:t>53,615</w:t>
            </w:r>
          </w:p>
        </w:tc>
        <w:tc>
          <w:tcPr>
            <w:tcW w:w="1535" w:type="dxa"/>
            <w:tcBorders>
              <w:top w:val="single" w:sz="6" w:space="0" w:color="auto"/>
              <w:left w:val="single" w:sz="6" w:space="0" w:color="auto"/>
              <w:bottom w:val="single" w:sz="6" w:space="0" w:color="auto"/>
            </w:tcBorders>
          </w:tcPr>
          <w:p w14:paraId="3003CC23" w14:textId="77777777" w:rsidR="009F31E2" w:rsidRPr="00A7259E" w:rsidRDefault="009F31E2" w:rsidP="006D389B">
            <w:pPr>
              <w:pStyle w:val="wTableNormal"/>
              <w:jc w:val="center"/>
            </w:pPr>
            <w:r w:rsidRPr="00A7259E">
              <w:t>33.3%</w:t>
            </w:r>
          </w:p>
        </w:tc>
      </w:tr>
      <w:tr w:rsidR="009F31E2" w14:paraId="36F54CBE" w14:textId="77777777" w:rsidTr="006D389B">
        <w:trPr>
          <w:jc w:val="center"/>
        </w:trPr>
        <w:tc>
          <w:tcPr>
            <w:tcW w:w="840" w:type="dxa"/>
            <w:tcBorders>
              <w:top w:val="single" w:sz="6" w:space="0" w:color="auto"/>
              <w:bottom w:val="single" w:sz="6" w:space="0" w:color="auto"/>
              <w:right w:val="single" w:sz="6" w:space="0" w:color="auto"/>
            </w:tcBorders>
            <w:vAlign w:val="center"/>
          </w:tcPr>
          <w:p w14:paraId="550CDB0F" w14:textId="77777777" w:rsidR="009F31E2" w:rsidRDefault="009F31E2" w:rsidP="006D389B">
            <w:pPr>
              <w:pStyle w:val="wTableNormal"/>
              <w:ind w:left="-203"/>
              <w:jc w:val="center"/>
            </w:pPr>
            <w:r w:rsidRPr="00A7259E">
              <w:t>25</w:t>
            </w:r>
          </w:p>
        </w:tc>
        <w:tc>
          <w:tcPr>
            <w:tcW w:w="1910" w:type="dxa"/>
            <w:tcBorders>
              <w:top w:val="single" w:sz="6" w:space="0" w:color="auto"/>
              <w:left w:val="single" w:sz="6" w:space="0" w:color="auto"/>
              <w:bottom w:val="single" w:sz="6" w:space="0" w:color="auto"/>
              <w:right w:val="single" w:sz="6" w:space="0" w:color="auto"/>
            </w:tcBorders>
            <w:vAlign w:val="center"/>
          </w:tcPr>
          <w:p w14:paraId="693CAE81" w14:textId="77777777" w:rsidR="009F31E2" w:rsidRDefault="009F31E2" w:rsidP="006D389B">
            <w:pPr>
              <w:pStyle w:val="wTableNormal"/>
              <w:ind w:right="537"/>
              <w:jc w:val="right"/>
            </w:pPr>
            <w:r w:rsidRPr="00982ABF">
              <w:t>$</w:t>
            </w:r>
            <w:r>
              <w:t>239,895</w:t>
            </w:r>
          </w:p>
        </w:tc>
        <w:tc>
          <w:tcPr>
            <w:tcW w:w="1760" w:type="dxa"/>
            <w:tcBorders>
              <w:top w:val="single" w:sz="6" w:space="0" w:color="auto"/>
              <w:left w:val="single" w:sz="6" w:space="0" w:color="auto"/>
              <w:bottom w:val="single" w:sz="6" w:space="0" w:color="auto"/>
              <w:right w:val="single" w:sz="6" w:space="0" w:color="auto"/>
            </w:tcBorders>
            <w:vAlign w:val="center"/>
          </w:tcPr>
          <w:p w14:paraId="57FF85D2" w14:textId="77777777" w:rsidR="009F31E2" w:rsidRDefault="009F31E2" w:rsidP="006D389B">
            <w:pPr>
              <w:pStyle w:val="wTableNormal"/>
              <w:ind w:right="537"/>
              <w:jc w:val="right"/>
            </w:pPr>
            <w:r w:rsidRPr="003F1CDB">
              <w:t>$</w:t>
            </w:r>
            <w:r>
              <w:t>319,860</w:t>
            </w:r>
          </w:p>
        </w:tc>
        <w:tc>
          <w:tcPr>
            <w:tcW w:w="1665" w:type="dxa"/>
            <w:tcBorders>
              <w:top w:val="single" w:sz="6" w:space="0" w:color="auto"/>
              <w:left w:val="single" w:sz="6" w:space="0" w:color="auto"/>
              <w:bottom w:val="single" w:sz="6" w:space="0" w:color="auto"/>
              <w:right w:val="single" w:sz="6" w:space="0" w:color="auto"/>
            </w:tcBorders>
            <w:vAlign w:val="center"/>
          </w:tcPr>
          <w:p w14:paraId="00BDA5E8" w14:textId="77777777" w:rsidR="009F31E2" w:rsidRDefault="009F31E2" w:rsidP="006D389B">
            <w:pPr>
              <w:pStyle w:val="wTableNormal"/>
              <w:ind w:right="332"/>
              <w:jc w:val="right"/>
            </w:pPr>
            <w:r w:rsidRPr="003F1CDB">
              <w:t>$</w:t>
            </w:r>
            <w:r>
              <w:t>79,965</w:t>
            </w:r>
          </w:p>
        </w:tc>
        <w:tc>
          <w:tcPr>
            <w:tcW w:w="1535" w:type="dxa"/>
            <w:tcBorders>
              <w:top w:val="single" w:sz="6" w:space="0" w:color="auto"/>
              <w:left w:val="single" w:sz="6" w:space="0" w:color="auto"/>
              <w:bottom w:val="single" w:sz="6" w:space="0" w:color="auto"/>
            </w:tcBorders>
          </w:tcPr>
          <w:p w14:paraId="069255E1" w14:textId="77777777" w:rsidR="009F31E2" w:rsidRPr="00A7259E" w:rsidRDefault="009F31E2" w:rsidP="006D389B">
            <w:pPr>
              <w:pStyle w:val="wTableNormal"/>
              <w:jc w:val="center"/>
            </w:pPr>
            <w:r w:rsidRPr="00A7259E">
              <w:t>33.3%</w:t>
            </w:r>
          </w:p>
        </w:tc>
      </w:tr>
      <w:tr w:rsidR="009F31E2" w14:paraId="2F4E085D" w14:textId="77777777" w:rsidTr="006D389B">
        <w:trPr>
          <w:trHeight w:val="318"/>
          <w:jc w:val="center"/>
        </w:trPr>
        <w:tc>
          <w:tcPr>
            <w:tcW w:w="840" w:type="dxa"/>
            <w:tcBorders>
              <w:top w:val="single" w:sz="6" w:space="0" w:color="auto"/>
              <w:bottom w:val="single" w:sz="6" w:space="0" w:color="auto"/>
              <w:right w:val="single" w:sz="6" w:space="0" w:color="auto"/>
            </w:tcBorders>
            <w:vAlign w:val="center"/>
          </w:tcPr>
          <w:p w14:paraId="7B8DD63E" w14:textId="77777777" w:rsidR="009F31E2" w:rsidRDefault="009F31E2" w:rsidP="006D389B">
            <w:pPr>
              <w:pStyle w:val="wTableNormal"/>
              <w:ind w:left="-203"/>
              <w:jc w:val="center"/>
            </w:pPr>
            <w:r w:rsidRPr="00A7259E">
              <w:t>30</w:t>
            </w:r>
          </w:p>
        </w:tc>
        <w:tc>
          <w:tcPr>
            <w:tcW w:w="1910" w:type="dxa"/>
            <w:tcBorders>
              <w:top w:val="single" w:sz="6" w:space="0" w:color="auto"/>
              <w:left w:val="single" w:sz="6" w:space="0" w:color="auto"/>
              <w:bottom w:val="single" w:sz="6" w:space="0" w:color="auto"/>
              <w:right w:val="single" w:sz="6" w:space="0" w:color="auto"/>
            </w:tcBorders>
            <w:vAlign w:val="center"/>
          </w:tcPr>
          <w:p w14:paraId="0B60F27A" w14:textId="77777777" w:rsidR="009F31E2" w:rsidRDefault="009F31E2" w:rsidP="006D389B">
            <w:pPr>
              <w:pStyle w:val="wTableNormal"/>
              <w:ind w:right="537"/>
              <w:jc w:val="right"/>
            </w:pPr>
            <w:r w:rsidRPr="00982ABF">
              <w:t>$</w:t>
            </w:r>
            <w:r>
              <w:t>345,681</w:t>
            </w:r>
          </w:p>
        </w:tc>
        <w:tc>
          <w:tcPr>
            <w:tcW w:w="1760" w:type="dxa"/>
            <w:tcBorders>
              <w:top w:val="single" w:sz="6" w:space="0" w:color="auto"/>
              <w:left w:val="single" w:sz="6" w:space="0" w:color="auto"/>
              <w:bottom w:val="single" w:sz="6" w:space="0" w:color="auto"/>
              <w:right w:val="single" w:sz="6" w:space="0" w:color="auto"/>
            </w:tcBorders>
            <w:vAlign w:val="center"/>
          </w:tcPr>
          <w:p w14:paraId="2142DFCE" w14:textId="77777777" w:rsidR="009F31E2" w:rsidRDefault="009F31E2" w:rsidP="006D389B">
            <w:pPr>
              <w:pStyle w:val="wTableNormal"/>
              <w:ind w:right="537"/>
              <w:jc w:val="right"/>
            </w:pPr>
            <w:r w:rsidRPr="003F1CDB">
              <w:t>$</w:t>
            </w:r>
            <w:r>
              <w:t>460,909</w:t>
            </w:r>
          </w:p>
        </w:tc>
        <w:tc>
          <w:tcPr>
            <w:tcW w:w="1665" w:type="dxa"/>
            <w:tcBorders>
              <w:top w:val="single" w:sz="6" w:space="0" w:color="auto"/>
              <w:left w:val="single" w:sz="6" w:space="0" w:color="auto"/>
              <w:bottom w:val="single" w:sz="6" w:space="0" w:color="auto"/>
              <w:right w:val="single" w:sz="6" w:space="0" w:color="auto"/>
            </w:tcBorders>
            <w:vAlign w:val="center"/>
          </w:tcPr>
          <w:p w14:paraId="1D909F21" w14:textId="77777777" w:rsidR="009F31E2" w:rsidRDefault="009F31E2" w:rsidP="006D389B">
            <w:pPr>
              <w:pStyle w:val="wTableNormal"/>
              <w:ind w:right="332"/>
              <w:jc w:val="right"/>
            </w:pPr>
            <w:r w:rsidRPr="003F1CDB">
              <w:t>$</w:t>
            </w:r>
            <w:r>
              <w:t>115,228</w:t>
            </w:r>
          </w:p>
        </w:tc>
        <w:tc>
          <w:tcPr>
            <w:tcW w:w="1535" w:type="dxa"/>
            <w:tcBorders>
              <w:top w:val="single" w:sz="6" w:space="0" w:color="auto"/>
              <w:left w:val="single" w:sz="6" w:space="0" w:color="auto"/>
              <w:bottom w:val="single" w:sz="6" w:space="0" w:color="auto"/>
            </w:tcBorders>
          </w:tcPr>
          <w:p w14:paraId="50357ECB" w14:textId="77777777" w:rsidR="009F31E2" w:rsidRPr="00A7259E" w:rsidRDefault="009F31E2" w:rsidP="006D389B">
            <w:pPr>
              <w:pStyle w:val="wTableNormal"/>
              <w:jc w:val="center"/>
            </w:pPr>
            <w:r w:rsidRPr="00A7259E">
              <w:t>33.3%</w:t>
            </w:r>
          </w:p>
        </w:tc>
      </w:tr>
      <w:tr w:rsidR="0063341F" w14:paraId="42912CD0" w14:textId="77777777" w:rsidTr="006D389B">
        <w:trPr>
          <w:trHeight w:val="525"/>
          <w:jc w:val="center"/>
        </w:trPr>
        <w:tc>
          <w:tcPr>
            <w:tcW w:w="7710" w:type="dxa"/>
            <w:gridSpan w:val="5"/>
            <w:tcBorders>
              <w:top w:val="single" w:sz="6" w:space="0" w:color="auto"/>
            </w:tcBorders>
          </w:tcPr>
          <w:p w14:paraId="5FA3B0B9" w14:textId="77777777" w:rsidR="0063341F" w:rsidRPr="006D389B" w:rsidRDefault="0063341F" w:rsidP="0063341F">
            <w:pPr>
              <w:pStyle w:val="wTableNormal"/>
              <w:rPr>
                <w:sz w:val="18"/>
                <w:szCs w:val="18"/>
              </w:rPr>
            </w:pPr>
            <w:r w:rsidRPr="006D389B">
              <w:rPr>
                <w:sz w:val="18"/>
                <w:szCs w:val="18"/>
              </w:rPr>
              <w:t>*After-tax value in a 25% tax bracket</w:t>
            </w:r>
          </w:p>
          <w:p w14:paraId="25BF9A5A" w14:textId="77777777" w:rsidR="0063341F" w:rsidRPr="0063341F" w:rsidRDefault="0063341F" w:rsidP="0063341F">
            <w:pPr>
              <w:pStyle w:val="wTableNormal"/>
            </w:pPr>
            <w:r w:rsidRPr="006D389B">
              <w:rPr>
                <w:sz w:val="18"/>
                <w:szCs w:val="18"/>
              </w:rPr>
              <w:t>‡Assumes that Roth IRA</w:t>
            </w:r>
            <w:r w:rsidR="00A95039" w:rsidRPr="006D389B">
              <w:rPr>
                <w:sz w:val="18"/>
                <w:szCs w:val="18"/>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 w:val="18"/>
                <w:szCs w:val="18"/>
              </w:rPr>
              <w:fldChar w:fldCharType="end"/>
            </w:r>
            <w:r w:rsidRPr="006D389B">
              <w:rPr>
                <w:sz w:val="18"/>
                <w:szCs w:val="18"/>
              </w:rPr>
              <w:t xml:space="preserve"> distribution is tax free as a qualified distribution</w:t>
            </w:r>
            <w:r w:rsidR="00A95039" w:rsidRPr="006D389B">
              <w:rPr>
                <w:sz w:val="18"/>
                <w:szCs w:val="18"/>
              </w:rPr>
              <w:fldChar w:fldCharType="begin"/>
            </w:r>
            <w:r w:rsidR="00293611">
              <w:instrText xml:space="preserve"> XE "</w:instrText>
            </w:r>
            <w:r w:rsidR="00293611" w:rsidRPr="006D389B">
              <w:rPr>
                <w:szCs w:val="22"/>
              </w:rPr>
              <w:instrText>qualified distribution</w:instrText>
            </w:r>
            <w:r w:rsidR="00293611">
              <w:instrText xml:space="preserve">" </w:instrText>
            </w:r>
            <w:r w:rsidR="00A95039" w:rsidRPr="006D389B">
              <w:rPr>
                <w:sz w:val="18"/>
                <w:szCs w:val="18"/>
              </w:rPr>
              <w:fldChar w:fldCharType="end"/>
            </w:r>
          </w:p>
        </w:tc>
      </w:tr>
    </w:tbl>
    <w:p w14:paraId="5670F14A" w14:textId="77777777" w:rsidR="000F56BF" w:rsidRDefault="000F56BF" w:rsidP="0072197B">
      <w:pPr>
        <w:spacing w:before="120"/>
      </w:pPr>
      <w:r>
        <w:t xml:space="preserve">Remember, we are comparing the distributed after-tax value of the two types of IRA. Since the Roth IRA qualified distribution would be tax free, the owner could expect—provided the assumptions were </w:t>
      </w:r>
      <w:r w:rsidR="008325D4">
        <w:t>realized</w:t>
      </w:r>
      <w:r>
        <w:t xml:space="preserve">—to receive $32,864 if he or she received a qualified distribution at the end of five years, $76,844 at the end of ten years, etc. However, although the traditional IRA value would also be $32,864 at the end of five years, a </w:t>
      </w:r>
      <w:r w:rsidR="008325D4">
        <w:t xml:space="preserve">traditional IRA </w:t>
      </w:r>
      <w:r>
        <w:t xml:space="preserve">distribution would be taxable. If the traditional IRA owner was in a 25 percent tax bracket when the distribution was made, the income tax liability as a result of the distribution would be $8,216. ($32,864 x .25 = $8,216) Since the traditional IRA owner must pay taxes on the distribution, he or she would receive $24,648 net of the income taxes. ($32,864 - $8,216 = $24,648) </w:t>
      </w:r>
    </w:p>
    <w:p w14:paraId="45E599E5" w14:textId="77777777" w:rsidR="00434CE0" w:rsidRPr="000B485C" w:rsidRDefault="00497A23" w:rsidP="0072197B">
      <w:pPr>
        <w:spacing w:before="120"/>
        <w:rPr>
          <w:szCs w:val="22"/>
        </w:rPr>
      </w:pPr>
      <w:r>
        <w:rPr>
          <w:szCs w:val="22"/>
        </w:rPr>
        <w:t>It should be clear in this comparison</w:t>
      </w:r>
      <w:r w:rsidR="00434CE0" w:rsidRPr="000B485C">
        <w:rPr>
          <w:szCs w:val="22"/>
        </w:rPr>
        <w:t xml:space="preserve"> that we are no longer comparing apples to apples.</w:t>
      </w:r>
      <w:r w:rsidR="00297ACB">
        <w:rPr>
          <w:szCs w:val="22"/>
        </w:rPr>
        <w:t xml:space="preserve"> </w:t>
      </w:r>
      <w:r w:rsidR="00434CE0" w:rsidRPr="000B485C">
        <w:rPr>
          <w:szCs w:val="22"/>
        </w:rPr>
        <w:t>Although the contribution is the same $</w:t>
      </w:r>
      <w:r w:rsidR="009D40A5">
        <w:rPr>
          <w:szCs w:val="22"/>
        </w:rPr>
        <w:t>5,</w:t>
      </w:r>
      <w:r w:rsidR="009F31E2">
        <w:rPr>
          <w:szCs w:val="22"/>
        </w:rPr>
        <w:t>5</w:t>
      </w:r>
      <w:r w:rsidR="009D40A5">
        <w:rPr>
          <w:szCs w:val="22"/>
        </w:rPr>
        <w:t>00</w:t>
      </w:r>
      <w:r w:rsidR="00434CE0" w:rsidRPr="000B485C">
        <w:rPr>
          <w:szCs w:val="22"/>
        </w:rPr>
        <w:t xml:space="preserve"> to the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and the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the contribution to the Roth IRA costs more than a $</w:t>
      </w:r>
      <w:r w:rsidR="009D40A5">
        <w:rPr>
          <w:szCs w:val="22"/>
        </w:rPr>
        <w:t>5,</w:t>
      </w:r>
      <w:r w:rsidR="009F31E2">
        <w:rPr>
          <w:szCs w:val="22"/>
        </w:rPr>
        <w:t>5</w:t>
      </w:r>
      <w:r w:rsidR="009D40A5">
        <w:rPr>
          <w:szCs w:val="22"/>
        </w:rPr>
        <w:t>00</w:t>
      </w:r>
      <w:r w:rsidR="00434CE0" w:rsidRPr="000B485C">
        <w:rPr>
          <w:szCs w:val="22"/>
        </w:rPr>
        <w:t xml:space="preserve"> contribution to a traditional IRA because income taxes must be paid on the </w:t>
      </w:r>
      <w:r w:rsidR="00DD3A95">
        <w:rPr>
          <w:szCs w:val="22"/>
        </w:rPr>
        <w:t xml:space="preserve">funds used to make the </w:t>
      </w:r>
      <w:r>
        <w:rPr>
          <w:szCs w:val="22"/>
        </w:rPr>
        <w:t xml:space="preserve">Roth IRA </w:t>
      </w:r>
      <w:r w:rsidR="00434CE0" w:rsidRPr="000B485C">
        <w:rPr>
          <w:szCs w:val="22"/>
        </w:rPr>
        <w:t>contribution.</w:t>
      </w:r>
      <w:r w:rsidR="00297ACB">
        <w:rPr>
          <w:szCs w:val="22"/>
        </w:rPr>
        <w:t xml:space="preserve"> </w:t>
      </w:r>
      <w:r>
        <w:rPr>
          <w:szCs w:val="22"/>
        </w:rPr>
        <w:t>T</w:t>
      </w:r>
      <w:r w:rsidR="00434CE0" w:rsidRPr="000B485C">
        <w:rPr>
          <w:szCs w:val="22"/>
        </w:rPr>
        <w:t xml:space="preserve">hose taxes in </w:t>
      </w:r>
      <w:r>
        <w:rPr>
          <w:szCs w:val="22"/>
        </w:rPr>
        <w:t>a 25</w:t>
      </w:r>
      <w:r w:rsidR="00434CE0" w:rsidRPr="000B485C">
        <w:rPr>
          <w:szCs w:val="22"/>
        </w:rPr>
        <w:t xml:space="preserve"> percent income tax bracket amount to $</w:t>
      </w:r>
      <w:r w:rsidR="009D40A5">
        <w:rPr>
          <w:szCs w:val="22"/>
        </w:rPr>
        <w:t>1,</w:t>
      </w:r>
      <w:r w:rsidR="009F31E2">
        <w:rPr>
          <w:szCs w:val="22"/>
        </w:rPr>
        <w:t>833</w:t>
      </w:r>
      <w:r w:rsidR="00434CE0" w:rsidRPr="000B485C">
        <w:rPr>
          <w:szCs w:val="22"/>
        </w:rPr>
        <w:t>.</w:t>
      </w:r>
      <w:r w:rsidR="00297ACB">
        <w:rPr>
          <w:szCs w:val="22"/>
        </w:rPr>
        <w:t xml:space="preserve"> </w:t>
      </w:r>
      <w:r w:rsidR="00434CE0" w:rsidRPr="000B485C">
        <w:rPr>
          <w:szCs w:val="22"/>
        </w:rPr>
        <w:t xml:space="preserve">The </w:t>
      </w:r>
      <w:r w:rsidR="000F56BF">
        <w:rPr>
          <w:szCs w:val="22"/>
        </w:rPr>
        <w:t xml:space="preserve">after-tax </w:t>
      </w:r>
      <w:r w:rsidR="00434CE0" w:rsidRPr="000B485C">
        <w:rPr>
          <w:szCs w:val="22"/>
        </w:rPr>
        <w:t xml:space="preserve">accumulation results, as you can see, are a consistent </w:t>
      </w:r>
      <w:r w:rsidR="003D5053">
        <w:rPr>
          <w:szCs w:val="22"/>
        </w:rPr>
        <w:t>1/3</w:t>
      </w:r>
      <w:r w:rsidR="003D5053" w:rsidRPr="003D5053">
        <w:rPr>
          <w:szCs w:val="22"/>
          <w:vertAlign w:val="superscript"/>
        </w:rPr>
        <w:t>rd</w:t>
      </w:r>
      <w:r w:rsidR="003D5053">
        <w:rPr>
          <w:szCs w:val="22"/>
        </w:rPr>
        <w:t xml:space="preserve"> </w:t>
      </w:r>
      <w:r w:rsidR="00434CE0" w:rsidRPr="000B485C">
        <w:rPr>
          <w:szCs w:val="22"/>
        </w:rPr>
        <w:t>greater because the pre-tax earnings required to make the Roth IRA contribution are $</w:t>
      </w:r>
      <w:r w:rsidR="005D7DE7">
        <w:rPr>
          <w:szCs w:val="22"/>
        </w:rPr>
        <w:t>7,333</w:t>
      </w:r>
      <w:r w:rsidR="00434CE0" w:rsidRPr="000B485C">
        <w:rPr>
          <w:szCs w:val="22"/>
        </w:rPr>
        <w:t xml:space="preserve"> instead of $</w:t>
      </w:r>
      <w:r w:rsidR="00322D94">
        <w:rPr>
          <w:szCs w:val="22"/>
        </w:rPr>
        <w:t>5</w:t>
      </w:r>
      <w:r w:rsidR="00434CE0" w:rsidRPr="000B485C">
        <w:rPr>
          <w:szCs w:val="22"/>
        </w:rPr>
        <w:t>,</w:t>
      </w:r>
      <w:r w:rsidR="005D7DE7">
        <w:rPr>
          <w:szCs w:val="22"/>
        </w:rPr>
        <w:t>5</w:t>
      </w:r>
      <w:r w:rsidR="00434CE0" w:rsidRPr="000B485C">
        <w:rPr>
          <w:szCs w:val="22"/>
        </w:rPr>
        <w:t xml:space="preserve">00—or </w:t>
      </w:r>
      <w:r w:rsidR="003D5053">
        <w:rPr>
          <w:szCs w:val="22"/>
        </w:rPr>
        <w:t>1/3</w:t>
      </w:r>
      <w:r w:rsidR="003D5053" w:rsidRPr="003D5053">
        <w:rPr>
          <w:szCs w:val="22"/>
          <w:vertAlign w:val="superscript"/>
        </w:rPr>
        <w:t>rd</w:t>
      </w:r>
      <w:r w:rsidR="003D5053">
        <w:rPr>
          <w:szCs w:val="22"/>
        </w:rPr>
        <w:t xml:space="preserve"> </w:t>
      </w:r>
      <w:r w:rsidR="00434CE0" w:rsidRPr="000B485C">
        <w:rPr>
          <w:szCs w:val="22"/>
        </w:rPr>
        <w:t>greater.</w:t>
      </w:r>
    </w:p>
    <w:p w14:paraId="144DC341" w14:textId="77777777" w:rsidR="00434CE0" w:rsidRPr="000B485C" w:rsidRDefault="003D5053" w:rsidP="0072197B">
      <w:pPr>
        <w:spacing w:before="120"/>
        <w:rPr>
          <w:szCs w:val="22"/>
        </w:rPr>
      </w:pPr>
      <w:r>
        <w:rPr>
          <w:szCs w:val="22"/>
        </w:rPr>
        <w:t>When making th</w:t>
      </w:r>
      <w:r w:rsidR="00434CE0" w:rsidRPr="000B485C">
        <w:rPr>
          <w:szCs w:val="22"/>
        </w:rPr>
        <w:t xml:space="preserve">is </w:t>
      </w:r>
      <w:r>
        <w:rPr>
          <w:szCs w:val="22"/>
        </w:rPr>
        <w:t>type</w:t>
      </w:r>
      <w:r w:rsidR="00434CE0" w:rsidRPr="000B485C">
        <w:rPr>
          <w:szCs w:val="22"/>
        </w:rPr>
        <w:t xml:space="preserve"> of analysis for </w:t>
      </w:r>
      <w:r>
        <w:rPr>
          <w:szCs w:val="22"/>
        </w:rPr>
        <w:t>a client,</w:t>
      </w:r>
      <w:r w:rsidR="00434CE0" w:rsidRPr="000B485C">
        <w:rPr>
          <w:szCs w:val="22"/>
        </w:rPr>
        <w:t xml:space="preserve"> three important things</w:t>
      </w:r>
      <w:r>
        <w:rPr>
          <w:szCs w:val="22"/>
        </w:rPr>
        <w:t xml:space="preserve"> must be kept in mind</w:t>
      </w:r>
      <w:r w:rsidR="00434CE0" w:rsidRPr="000B485C">
        <w:rPr>
          <w:szCs w:val="22"/>
        </w:rPr>
        <w:t>:</w:t>
      </w:r>
    </w:p>
    <w:p w14:paraId="06485F05" w14:textId="77777777" w:rsidR="00434CE0" w:rsidRPr="00843A52" w:rsidRDefault="003D5053" w:rsidP="007A5E54">
      <w:pPr>
        <w:pStyle w:val="ListParagraph"/>
        <w:numPr>
          <w:ilvl w:val="0"/>
          <w:numId w:val="133"/>
        </w:numPr>
        <w:spacing w:before="120"/>
        <w:ind w:left="720"/>
      </w:pPr>
      <w:r w:rsidRPr="00843A52">
        <w:t>T</w:t>
      </w:r>
      <w:r w:rsidR="00434CE0" w:rsidRPr="00843A52">
        <w:t>he growth rate we have used is entirely hypothetical and is used only to show the diffe</w:t>
      </w:r>
      <w:r w:rsidRPr="00843A52">
        <w:t>rence between the two IRA plans</w:t>
      </w:r>
      <w:r w:rsidR="00A5334A">
        <w:t>;</w:t>
      </w:r>
    </w:p>
    <w:p w14:paraId="21720475" w14:textId="77777777" w:rsidR="00434CE0" w:rsidRPr="00843A52" w:rsidRDefault="003D5053" w:rsidP="007A5E54">
      <w:pPr>
        <w:pStyle w:val="ListParagraph"/>
        <w:numPr>
          <w:ilvl w:val="0"/>
          <w:numId w:val="133"/>
        </w:numPr>
        <w:spacing w:before="120"/>
        <w:ind w:left="720"/>
      </w:pPr>
      <w:r w:rsidRPr="00843A52">
        <w:t>T</w:t>
      </w:r>
      <w:r w:rsidR="00434CE0" w:rsidRPr="00843A52">
        <w:t xml:space="preserve">he analysis </w:t>
      </w:r>
      <w:r w:rsidRPr="00843A52">
        <w:t>assumes that the</w:t>
      </w:r>
      <w:r w:rsidR="00434CE0" w:rsidRPr="00843A52">
        <w:t xml:space="preserve"> income tax bracket </w:t>
      </w:r>
      <w:r w:rsidRPr="00843A52">
        <w:t>is</w:t>
      </w:r>
      <w:r w:rsidR="00434CE0" w:rsidRPr="00843A52">
        <w:t xml:space="preserve"> the same at the time of distribution as it is at the time of contribution; there is no way to be sure that will be the case</w:t>
      </w:r>
      <w:r w:rsidR="00A5334A">
        <w:t>; and</w:t>
      </w:r>
    </w:p>
    <w:p w14:paraId="2E21B47A" w14:textId="77777777" w:rsidR="00434CE0" w:rsidRPr="00843A52" w:rsidRDefault="00434CE0" w:rsidP="007A5E54">
      <w:pPr>
        <w:pStyle w:val="ListParagraph"/>
        <w:numPr>
          <w:ilvl w:val="0"/>
          <w:numId w:val="133"/>
        </w:numPr>
        <w:spacing w:before="120"/>
        <w:ind w:left="720"/>
      </w:pPr>
      <w:r w:rsidRPr="00843A52">
        <w:t>The distribution from the Roth IRA</w:t>
      </w:r>
      <w:r w:rsidR="00A95039">
        <w:fldChar w:fldCharType="begin"/>
      </w:r>
      <w:r w:rsidR="00293611">
        <w:instrText xml:space="preserve"> XE "</w:instrText>
      </w:r>
      <w:r w:rsidR="00293611" w:rsidRPr="00A5334A">
        <w:rPr>
          <w:szCs w:val="22"/>
        </w:rPr>
        <w:instrText>Roth IRA</w:instrText>
      </w:r>
      <w:r w:rsidR="00293611">
        <w:instrText xml:space="preserve">" </w:instrText>
      </w:r>
      <w:r w:rsidR="00A95039">
        <w:fldChar w:fldCharType="end"/>
      </w:r>
      <w:r w:rsidRPr="00843A52">
        <w:t xml:space="preserve"> is assumed to be a qualified distributio</w:t>
      </w:r>
      <w:r w:rsidR="003D5053" w:rsidRPr="00843A52">
        <w:t>n</w:t>
      </w:r>
      <w:r w:rsidR="00A95039">
        <w:fldChar w:fldCharType="begin"/>
      </w:r>
      <w:r w:rsidR="00293611">
        <w:instrText xml:space="preserve"> XE "</w:instrText>
      </w:r>
      <w:r w:rsidR="00293611" w:rsidRPr="00A5334A">
        <w:rPr>
          <w:szCs w:val="22"/>
        </w:rPr>
        <w:instrText>qualified distribution</w:instrText>
      </w:r>
      <w:r w:rsidR="00293611">
        <w:instrText xml:space="preserve">" </w:instrText>
      </w:r>
      <w:r w:rsidR="00A95039">
        <w:fldChar w:fldCharType="end"/>
      </w:r>
      <w:r w:rsidRPr="00843A52">
        <w:t xml:space="preserve"> and, therefore, tax free; at the time of distribution, the client may not meet the criter</w:t>
      </w:r>
      <w:r w:rsidR="003D5053" w:rsidRPr="00843A52">
        <w:t>ia for a qualified distribution</w:t>
      </w:r>
      <w:r w:rsidR="00A5334A">
        <w:t>.</w:t>
      </w:r>
    </w:p>
    <w:p w14:paraId="5E157A18" w14:textId="77777777" w:rsidR="00D8380C" w:rsidRDefault="00D8380C" w:rsidP="00D8380C">
      <w:pPr>
        <w:pStyle w:val="Heading3"/>
      </w:pPr>
      <w:bookmarkStart w:id="85" w:name="_Toc404357180"/>
      <w:r>
        <w:t>Non-Qualified Distributions Receive FIFO Tax Treatment</w:t>
      </w:r>
      <w:bookmarkEnd w:id="85"/>
    </w:p>
    <w:p w14:paraId="78F9D962" w14:textId="77777777" w:rsidR="00434CE0" w:rsidRPr="000B485C" w:rsidRDefault="00434CE0" w:rsidP="0072197B">
      <w:pPr>
        <w:spacing w:before="120"/>
        <w:rPr>
          <w:szCs w:val="22"/>
        </w:rPr>
      </w:pPr>
      <w:r w:rsidRPr="000B485C">
        <w:rPr>
          <w:szCs w:val="22"/>
        </w:rPr>
        <w:t xml:space="preserve">There is an additional tax advantage </w:t>
      </w:r>
      <w:r w:rsidR="003D5053">
        <w:rPr>
          <w:szCs w:val="22"/>
        </w:rPr>
        <w:t xml:space="preserve">on distributions </w:t>
      </w:r>
      <w:r w:rsidRPr="000B485C">
        <w:rPr>
          <w:szCs w:val="22"/>
        </w:rPr>
        <w:t>that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Pr="000B485C">
        <w:rPr>
          <w:szCs w:val="22"/>
        </w:rPr>
        <w:t xml:space="preserve"> owners enjoy</w:t>
      </w:r>
      <w:r w:rsidR="003D5053">
        <w:rPr>
          <w:szCs w:val="22"/>
        </w:rPr>
        <w:t>, even when the distribution isn’t a qualified distribution</w:t>
      </w:r>
      <w:r w:rsidR="00A95039">
        <w:rPr>
          <w:szCs w:val="22"/>
        </w:rPr>
        <w:fldChar w:fldCharType="begin"/>
      </w:r>
      <w:r w:rsidR="00293611">
        <w:instrText xml:space="preserve"> XE "</w:instrText>
      </w:r>
      <w:r w:rsidR="00293611" w:rsidRPr="00CD56BD">
        <w:rPr>
          <w:szCs w:val="22"/>
        </w:rPr>
        <w:instrText>qualified distribution</w:instrText>
      </w:r>
      <w:r w:rsidR="00293611">
        <w:instrText xml:space="preserve">" </w:instrText>
      </w:r>
      <w:r w:rsidR="00A95039">
        <w:rPr>
          <w:szCs w:val="22"/>
        </w:rPr>
        <w:fldChar w:fldCharType="end"/>
      </w:r>
      <w:r w:rsidR="003D5053">
        <w:rPr>
          <w:szCs w:val="22"/>
        </w:rPr>
        <w:t>:</w:t>
      </w:r>
      <w:r w:rsidRPr="000B485C">
        <w:rPr>
          <w:szCs w:val="22"/>
        </w:rPr>
        <w:t xml:space="preserve"> FIFO tax treatment</w:t>
      </w:r>
      <w:r w:rsidR="00A95039">
        <w:rPr>
          <w:szCs w:val="22"/>
        </w:rPr>
        <w:fldChar w:fldCharType="begin"/>
      </w:r>
      <w:r w:rsidR="00293611">
        <w:instrText xml:space="preserve"> XE "</w:instrText>
      </w:r>
      <w:r w:rsidR="00293611" w:rsidRPr="00CD56BD">
        <w:rPr>
          <w:szCs w:val="22"/>
        </w:rPr>
        <w:instrText>FIFO tax treatment</w:instrText>
      </w:r>
      <w:r w:rsidR="00293611">
        <w:instrText xml:space="preserve">" </w:instrText>
      </w:r>
      <w:r w:rsidR="00A95039">
        <w:rPr>
          <w:szCs w:val="22"/>
        </w:rPr>
        <w:fldChar w:fldCharType="end"/>
      </w:r>
      <w:r w:rsidR="003D5053">
        <w:rPr>
          <w:szCs w:val="22"/>
        </w:rPr>
        <w:t>.</w:t>
      </w:r>
    </w:p>
    <w:p w14:paraId="24158FAC" w14:textId="77777777" w:rsidR="00434CE0" w:rsidRPr="000B485C" w:rsidRDefault="003D5053" w:rsidP="0072197B">
      <w:pPr>
        <w:spacing w:before="120"/>
        <w:rPr>
          <w:szCs w:val="22"/>
        </w:rPr>
      </w:pPr>
      <w:r>
        <w:rPr>
          <w:szCs w:val="22"/>
        </w:rPr>
        <w:t>U</w:t>
      </w:r>
      <w:r w:rsidR="00434CE0" w:rsidRPr="000B485C">
        <w:rPr>
          <w:szCs w:val="22"/>
        </w:rPr>
        <w:t>nder FIFO tax treatment</w:t>
      </w:r>
      <w:r w:rsidR="00A95039">
        <w:rPr>
          <w:szCs w:val="22"/>
        </w:rPr>
        <w:fldChar w:fldCharType="begin"/>
      </w:r>
      <w:r w:rsidR="00293611">
        <w:instrText xml:space="preserve"> XE "</w:instrText>
      </w:r>
      <w:r w:rsidR="00293611" w:rsidRPr="00CD56BD">
        <w:rPr>
          <w:szCs w:val="22"/>
        </w:rPr>
        <w:instrText>FIFO tax treatment</w:instrText>
      </w:r>
      <w:r w:rsidR="00293611">
        <w:instrText xml:space="preserve">" </w:instrText>
      </w:r>
      <w:r w:rsidR="00A95039">
        <w:rPr>
          <w:szCs w:val="22"/>
        </w:rPr>
        <w:fldChar w:fldCharType="end"/>
      </w:r>
      <w:r w:rsidR="00434CE0" w:rsidRPr="000B485C">
        <w:rPr>
          <w:szCs w:val="22"/>
        </w:rPr>
        <w:t xml:space="preserve">, all contributions </w:t>
      </w:r>
      <w:r w:rsidR="00323BFE">
        <w:t>to a Roth IRA</w:t>
      </w:r>
      <w:r w:rsidR="00323BFE" w:rsidRPr="000B485C">
        <w:t xml:space="preserve"> </w:t>
      </w:r>
      <w:r w:rsidR="00434CE0" w:rsidRPr="000B485C">
        <w:rPr>
          <w:szCs w:val="22"/>
        </w:rPr>
        <w:t xml:space="preserve">are deemed to be distributed </w:t>
      </w:r>
      <w:r w:rsidR="00434CE0" w:rsidRPr="003D5053">
        <w:rPr>
          <w:i/>
          <w:szCs w:val="22"/>
        </w:rPr>
        <w:t>before any earnings are distributed</w:t>
      </w:r>
      <w:r w:rsidR="00434CE0" w:rsidRPr="000B485C">
        <w:rPr>
          <w:szCs w:val="22"/>
        </w:rPr>
        <w:t>.</w:t>
      </w:r>
      <w:r w:rsidR="00297ACB">
        <w:rPr>
          <w:szCs w:val="22"/>
        </w:rPr>
        <w:t xml:space="preserve"> </w:t>
      </w:r>
      <w:r w:rsidR="00434CE0" w:rsidRPr="000B485C">
        <w:rPr>
          <w:szCs w:val="22"/>
        </w:rPr>
        <w:t xml:space="preserve">Since </w:t>
      </w:r>
      <w:r w:rsidR="00323BFE">
        <w:rPr>
          <w:szCs w:val="22"/>
        </w:rPr>
        <w:t xml:space="preserve">Roth IRA </w:t>
      </w:r>
      <w:r w:rsidR="00434CE0" w:rsidRPr="000B485C">
        <w:rPr>
          <w:szCs w:val="22"/>
        </w:rPr>
        <w:t xml:space="preserve">contributions are made with after-tax dollars, they are withdrawn tax free, even though earnings withdrawn in a distribution that is not a </w:t>
      </w:r>
      <w:r w:rsidR="00297ACB">
        <w:rPr>
          <w:szCs w:val="22"/>
        </w:rPr>
        <w:t>“</w:t>
      </w:r>
      <w:r w:rsidR="00434CE0" w:rsidRPr="000B485C">
        <w:rPr>
          <w:szCs w:val="22"/>
        </w:rPr>
        <w:t xml:space="preserve">qualified </w:t>
      </w:r>
      <w:r w:rsidR="00434CE0" w:rsidRPr="000B485C">
        <w:rPr>
          <w:szCs w:val="22"/>
        </w:rPr>
        <w:lastRenderedPageBreak/>
        <w:t>distribution</w:t>
      </w:r>
      <w:r w:rsidR="00A95039">
        <w:rPr>
          <w:szCs w:val="22"/>
        </w:rPr>
        <w:fldChar w:fldCharType="begin"/>
      </w:r>
      <w:r w:rsidR="00293611">
        <w:instrText xml:space="preserve"> XE "</w:instrText>
      </w:r>
      <w:r w:rsidR="00293611" w:rsidRPr="00CD56BD">
        <w:rPr>
          <w:szCs w:val="22"/>
        </w:rPr>
        <w:instrText>qualified distribution</w:instrText>
      </w:r>
      <w:r w:rsidR="00293611">
        <w:instrText xml:space="preserve">" </w:instrText>
      </w:r>
      <w:r w:rsidR="00A95039">
        <w:rPr>
          <w:szCs w:val="22"/>
        </w:rPr>
        <w:fldChar w:fldCharType="end"/>
      </w:r>
      <w:r w:rsidR="00297ACB">
        <w:rPr>
          <w:szCs w:val="22"/>
        </w:rPr>
        <w:t>”</w:t>
      </w:r>
      <w:r w:rsidR="00434CE0" w:rsidRPr="000B485C">
        <w:rPr>
          <w:szCs w:val="22"/>
        </w:rPr>
        <w:t xml:space="preserve"> would be subject to income tax and, possibly, a premature </w:t>
      </w:r>
      <w:r w:rsidR="00323BFE">
        <w:rPr>
          <w:szCs w:val="22"/>
        </w:rPr>
        <w:t xml:space="preserve">distribution </w:t>
      </w:r>
      <w:r w:rsidR="00434CE0" w:rsidRPr="000B485C">
        <w:rPr>
          <w:szCs w:val="22"/>
        </w:rPr>
        <w:t>tax penalty.</w:t>
      </w:r>
      <w:r w:rsidR="00297ACB">
        <w:rPr>
          <w:szCs w:val="22"/>
        </w:rPr>
        <w:t xml:space="preserve"> </w:t>
      </w:r>
      <w:r w:rsidR="0026584B">
        <w:rPr>
          <w:szCs w:val="22"/>
        </w:rPr>
        <w:t>As a result of this favorable tax treatment,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26584B">
        <w:rPr>
          <w:szCs w:val="22"/>
        </w:rPr>
        <w:t xml:space="preserve"> owner can withdraw all his or her contributions from the account</w:t>
      </w:r>
      <w:r w:rsidR="008324AE">
        <w:rPr>
          <w:szCs w:val="22"/>
        </w:rPr>
        <w:t xml:space="preserve"> without incurring any income tax liability—and leave all of the earnings in the account continuing to enjoy tax deferral.</w:t>
      </w:r>
    </w:p>
    <w:p w14:paraId="6A3571C1" w14:textId="77777777" w:rsidR="00D8380C" w:rsidRDefault="00D8380C" w:rsidP="00D8380C">
      <w:pPr>
        <w:pStyle w:val="Heading4"/>
      </w:pPr>
      <w:bookmarkStart w:id="86" w:name="_Toc404357181"/>
      <w:r>
        <w:t>Non-Qualified Gain Distributions Subject to Tax Penalty</w:t>
      </w:r>
      <w:bookmarkEnd w:id="86"/>
    </w:p>
    <w:p w14:paraId="1F59E2C4" w14:textId="77777777" w:rsidR="00434CE0" w:rsidRPr="000B485C" w:rsidRDefault="008324AE" w:rsidP="0072197B">
      <w:pPr>
        <w:spacing w:before="120"/>
        <w:rPr>
          <w:szCs w:val="22"/>
        </w:rPr>
      </w:pPr>
      <w:r>
        <w:rPr>
          <w:szCs w:val="22"/>
        </w:rPr>
        <w:t>We not</w:t>
      </w:r>
      <w:r w:rsidR="00434CE0" w:rsidRPr="000B485C">
        <w:rPr>
          <w:szCs w:val="22"/>
        </w:rPr>
        <w:t>ed earlier that a premature distribution 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434CE0" w:rsidRPr="000B485C">
        <w:rPr>
          <w:szCs w:val="22"/>
        </w:rPr>
        <w:t xml:space="preserve"> would result in a 10 percent tax penalty.</w:t>
      </w:r>
      <w:r w:rsidR="00297ACB">
        <w:rPr>
          <w:szCs w:val="22"/>
        </w:rPr>
        <w:t xml:space="preserve"> </w:t>
      </w:r>
      <w:r w:rsidR="00434CE0" w:rsidRPr="000B485C">
        <w:rPr>
          <w:szCs w:val="22"/>
        </w:rPr>
        <w:t xml:space="preserve">The 10 percent premature withdrawal tax penalty is </w:t>
      </w:r>
      <w:r>
        <w:rPr>
          <w:szCs w:val="22"/>
        </w:rPr>
        <w:t>assessed against</w:t>
      </w:r>
      <w:r w:rsidR="00434CE0" w:rsidRPr="000B485C">
        <w:rPr>
          <w:szCs w:val="22"/>
        </w:rPr>
        <w:t xml:space="preserve"> the amount that </w:t>
      </w:r>
      <w:r>
        <w:rPr>
          <w:szCs w:val="22"/>
        </w:rPr>
        <w:t>must be</w:t>
      </w:r>
      <w:r w:rsidR="00434CE0" w:rsidRPr="000B485C">
        <w:rPr>
          <w:szCs w:val="22"/>
        </w:rPr>
        <w:t xml:space="preserve"> report</w:t>
      </w:r>
      <w:r>
        <w:rPr>
          <w:szCs w:val="22"/>
        </w:rPr>
        <w:t>ed</w:t>
      </w:r>
      <w:r w:rsidR="00434CE0" w:rsidRPr="000B485C">
        <w:rPr>
          <w:szCs w:val="22"/>
        </w:rPr>
        <w:t xml:space="preserve"> as a taxable distribution.</w:t>
      </w:r>
      <w:r w:rsidR="00297ACB">
        <w:rPr>
          <w:szCs w:val="22"/>
        </w:rPr>
        <w:t xml:space="preserve"> </w:t>
      </w:r>
      <w:r w:rsidR="00434CE0" w:rsidRPr="000B485C">
        <w:rPr>
          <w:szCs w:val="22"/>
        </w:rPr>
        <w:t>The same is true of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w:t>
      </w:r>
    </w:p>
    <w:p w14:paraId="565D3106" w14:textId="77777777" w:rsidR="00434CE0" w:rsidRPr="000B485C" w:rsidRDefault="008324AE" w:rsidP="0072197B">
      <w:pPr>
        <w:spacing w:before="120"/>
        <w:rPr>
          <w:szCs w:val="22"/>
        </w:rPr>
      </w:pPr>
      <w:r>
        <w:rPr>
          <w:szCs w:val="22"/>
        </w:rPr>
        <w:t>If an individual</w:t>
      </w:r>
      <w:r w:rsidR="00434CE0" w:rsidRPr="000B485C">
        <w:rPr>
          <w:szCs w:val="22"/>
        </w:rPr>
        <w:t xml:space="preserve"> had contributed $10,000 to </w:t>
      </w:r>
      <w:r>
        <w:rPr>
          <w:szCs w:val="22"/>
        </w:rPr>
        <w:t>a</w:t>
      </w:r>
      <w:r w:rsidR="00434CE0" w:rsidRPr="000B485C">
        <w:rPr>
          <w:szCs w:val="22"/>
        </w:rPr>
        <w:t xml:space="preserve">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 xml:space="preserve"> and the value of the account </w:t>
      </w:r>
      <w:r>
        <w:rPr>
          <w:szCs w:val="22"/>
        </w:rPr>
        <w:t>was</w:t>
      </w:r>
      <w:r w:rsidR="00434CE0" w:rsidRPr="000B485C">
        <w:rPr>
          <w:szCs w:val="22"/>
        </w:rPr>
        <w:t xml:space="preserve"> $15,000</w:t>
      </w:r>
      <w:r>
        <w:rPr>
          <w:szCs w:val="22"/>
        </w:rPr>
        <w:t>, $5,000 would be considered earnings</w:t>
      </w:r>
      <w:r w:rsidR="00434CE0" w:rsidRPr="000B485C">
        <w:rPr>
          <w:szCs w:val="22"/>
        </w:rPr>
        <w:t>.</w:t>
      </w:r>
      <w:r w:rsidR="00297ACB">
        <w:rPr>
          <w:szCs w:val="22"/>
        </w:rPr>
        <w:t xml:space="preserve"> </w:t>
      </w:r>
      <w:r>
        <w:rPr>
          <w:szCs w:val="22"/>
        </w:rPr>
        <w:t xml:space="preserve">If the individual chose to withdraw all of the Roth IRA funds and the withdrawal did not meet the requirements </w:t>
      </w:r>
      <w:r w:rsidR="00323BFE">
        <w:rPr>
          <w:szCs w:val="22"/>
        </w:rPr>
        <w:t>for</w:t>
      </w:r>
      <w:r>
        <w:rPr>
          <w:szCs w:val="22"/>
        </w:rPr>
        <w:t xml:space="preserve"> a qualified distribution</w:t>
      </w:r>
      <w:r w:rsidR="00A95039">
        <w:rPr>
          <w:szCs w:val="22"/>
        </w:rPr>
        <w:fldChar w:fldCharType="begin"/>
      </w:r>
      <w:r w:rsidR="00293611">
        <w:instrText xml:space="preserve"> XE "</w:instrText>
      </w:r>
      <w:r w:rsidR="00293611" w:rsidRPr="00CD56BD">
        <w:rPr>
          <w:szCs w:val="22"/>
        </w:rPr>
        <w:instrText>qualified distribution</w:instrText>
      </w:r>
      <w:r w:rsidR="00293611">
        <w:instrText xml:space="preserve">" </w:instrText>
      </w:r>
      <w:r w:rsidR="00A95039">
        <w:rPr>
          <w:szCs w:val="22"/>
        </w:rPr>
        <w:fldChar w:fldCharType="end"/>
      </w:r>
      <w:r>
        <w:rPr>
          <w:szCs w:val="22"/>
        </w:rPr>
        <w:t>, the premature withdrawal tax penalty would only be $500.</w:t>
      </w:r>
      <w:r w:rsidR="00297ACB">
        <w:rPr>
          <w:szCs w:val="22"/>
        </w:rPr>
        <w:t xml:space="preserve"> </w:t>
      </w:r>
      <w:r w:rsidR="00434CE0" w:rsidRPr="000B485C">
        <w:rPr>
          <w:szCs w:val="22"/>
        </w:rPr>
        <w:t xml:space="preserve">Of the $15,000 in </w:t>
      </w:r>
      <w:r>
        <w:rPr>
          <w:szCs w:val="22"/>
        </w:rPr>
        <w:t>the</w:t>
      </w:r>
      <w:r w:rsidR="00434CE0" w:rsidRPr="000B485C">
        <w:rPr>
          <w:szCs w:val="22"/>
        </w:rPr>
        <w:t xml:space="preserve"> Roth IRA, $10,000 would be received tax free as a return of after-tax contributions.</w:t>
      </w:r>
      <w:r w:rsidR="00297ACB">
        <w:rPr>
          <w:szCs w:val="22"/>
        </w:rPr>
        <w:t xml:space="preserve"> </w:t>
      </w:r>
      <w:r w:rsidR="00434CE0" w:rsidRPr="000B485C">
        <w:rPr>
          <w:szCs w:val="22"/>
        </w:rPr>
        <w:t xml:space="preserve">The </w:t>
      </w:r>
      <w:r>
        <w:rPr>
          <w:szCs w:val="22"/>
        </w:rPr>
        <w:t xml:space="preserve">$5,000 </w:t>
      </w:r>
      <w:r w:rsidR="00434CE0" w:rsidRPr="000B485C">
        <w:rPr>
          <w:szCs w:val="22"/>
        </w:rPr>
        <w:t>balance</w:t>
      </w:r>
      <w:r>
        <w:rPr>
          <w:szCs w:val="22"/>
        </w:rPr>
        <w:t xml:space="preserve"> </w:t>
      </w:r>
      <w:r w:rsidR="00434CE0" w:rsidRPr="000B485C">
        <w:rPr>
          <w:szCs w:val="22"/>
        </w:rPr>
        <w:t>is taxable earnings which must be reported.</w:t>
      </w:r>
      <w:r w:rsidR="00297ACB">
        <w:rPr>
          <w:szCs w:val="22"/>
        </w:rPr>
        <w:t xml:space="preserve"> </w:t>
      </w:r>
      <w:r w:rsidR="00434CE0" w:rsidRPr="000B485C">
        <w:rPr>
          <w:szCs w:val="22"/>
        </w:rPr>
        <w:t xml:space="preserve">Since </w:t>
      </w:r>
      <w:r>
        <w:rPr>
          <w:szCs w:val="22"/>
        </w:rPr>
        <w:t>t</w:t>
      </w:r>
      <w:r w:rsidR="00434CE0" w:rsidRPr="000B485C">
        <w:rPr>
          <w:szCs w:val="22"/>
        </w:rPr>
        <w:t xml:space="preserve">he </w:t>
      </w:r>
      <w:r>
        <w:rPr>
          <w:szCs w:val="22"/>
        </w:rPr>
        <w:t xml:space="preserve">Roth IRA owner </w:t>
      </w:r>
      <w:r w:rsidR="00434CE0" w:rsidRPr="000B485C">
        <w:rPr>
          <w:szCs w:val="22"/>
        </w:rPr>
        <w:t xml:space="preserve">must report $5,000 </w:t>
      </w:r>
      <w:r w:rsidR="00323BFE">
        <w:rPr>
          <w:szCs w:val="22"/>
        </w:rPr>
        <w:t>as a</w:t>
      </w:r>
      <w:r w:rsidR="00434CE0" w:rsidRPr="000B485C">
        <w:rPr>
          <w:szCs w:val="22"/>
        </w:rPr>
        <w:t xml:space="preserve"> premature </w:t>
      </w:r>
      <w:r w:rsidR="00323BFE">
        <w:rPr>
          <w:szCs w:val="22"/>
        </w:rPr>
        <w:t>distribution</w:t>
      </w:r>
      <w:r w:rsidR="00434CE0" w:rsidRPr="000B485C">
        <w:rPr>
          <w:szCs w:val="22"/>
        </w:rPr>
        <w:t xml:space="preserve">, </w:t>
      </w:r>
      <w:r>
        <w:rPr>
          <w:szCs w:val="22"/>
        </w:rPr>
        <w:t>the</w:t>
      </w:r>
      <w:r w:rsidR="00434CE0" w:rsidRPr="000B485C">
        <w:rPr>
          <w:szCs w:val="22"/>
        </w:rPr>
        <w:t xml:space="preserve"> tax penalty is 10 percent of that taxable amount, or $500.</w:t>
      </w:r>
    </w:p>
    <w:p w14:paraId="502E9962" w14:textId="77777777" w:rsidR="00434CE0" w:rsidRPr="000B485C" w:rsidRDefault="00434CE0" w:rsidP="0072197B">
      <w:pPr>
        <w:spacing w:before="120"/>
        <w:rPr>
          <w:szCs w:val="22"/>
        </w:rPr>
      </w:pPr>
      <w:r w:rsidRPr="000B485C">
        <w:rPr>
          <w:szCs w:val="22"/>
        </w:rPr>
        <w:t>Just as in the case of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Pr="000B485C">
        <w:rPr>
          <w:szCs w:val="22"/>
        </w:rPr>
        <w:t xml:space="preserve">, however, the penalty for a premature withdrawal </w:t>
      </w:r>
      <w:r w:rsidR="00C04F34">
        <w:rPr>
          <w:szCs w:val="22"/>
        </w:rPr>
        <w:t>from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C04F34">
        <w:rPr>
          <w:szCs w:val="22"/>
        </w:rPr>
        <w:t xml:space="preserve"> </w:t>
      </w:r>
      <w:r w:rsidRPr="000B485C">
        <w:rPr>
          <w:szCs w:val="22"/>
        </w:rPr>
        <w:t xml:space="preserve">is waived if the </w:t>
      </w:r>
      <w:r w:rsidR="00E17EC0">
        <w:rPr>
          <w:szCs w:val="22"/>
        </w:rPr>
        <w:t>withdrawal is</w:t>
      </w:r>
      <w:r w:rsidRPr="000B485C">
        <w:rPr>
          <w:szCs w:val="22"/>
        </w:rPr>
        <w:t>:</w:t>
      </w:r>
    </w:p>
    <w:p w14:paraId="26BF1527" w14:textId="77777777" w:rsidR="00434CE0" w:rsidRPr="00843A52" w:rsidRDefault="00E17EC0" w:rsidP="007A5E54">
      <w:pPr>
        <w:pStyle w:val="ListParagraph"/>
        <w:numPr>
          <w:ilvl w:val="0"/>
          <w:numId w:val="134"/>
        </w:numPr>
        <w:spacing w:before="120"/>
        <w:ind w:left="720"/>
      </w:pPr>
      <w:r w:rsidRPr="00843A52">
        <w:t>Attributable to t</w:t>
      </w:r>
      <w:r w:rsidR="00434CE0" w:rsidRPr="00843A52">
        <w:t xml:space="preserve">he IRA </w:t>
      </w:r>
      <w:r w:rsidRPr="00843A52">
        <w:t>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rsidRPr="00843A52">
        <w:t xml:space="preserve"> or disability</w:t>
      </w:r>
      <w:r w:rsidR="00A5334A">
        <w:t>;</w:t>
      </w:r>
      <w:r w:rsidR="00A95039">
        <w:fldChar w:fldCharType="begin"/>
      </w:r>
      <w:r w:rsidR="00293611">
        <w:instrText xml:space="preserve"> XE "</w:instrText>
      </w:r>
      <w:r w:rsidR="00293611" w:rsidRPr="00CD56BD">
        <w:instrText>disability</w:instrText>
      </w:r>
      <w:r w:rsidR="00293611">
        <w:instrText xml:space="preserve">" </w:instrText>
      </w:r>
      <w:r w:rsidR="00A95039">
        <w:fldChar w:fldCharType="end"/>
      </w:r>
    </w:p>
    <w:p w14:paraId="0B9B36C3" w14:textId="77777777" w:rsidR="00E17EC0" w:rsidRPr="00843A52" w:rsidRDefault="00E17EC0" w:rsidP="007A5E54">
      <w:pPr>
        <w:pStyle w:val="ListParagraph"/>
        <w:numPr>
          <w:ilvl w:val="0"/>
          <w:numId w:val="134"/>
        </w:numPr>
        <w:spacing w:before="120"/>
        <w:ind w:left="720"/>
      </w:pPr>
      <w:r w:rsidRPr="00843A52">
        <w:t>Made for medical care</w:t>
      </w:r>
      <w:r w:rsidR="00A95039">
        <w:fldChar w:fldCharType="begin"/>
      </w:r>
      <w:r w:rsidR="00293611">
        <w:instrText xml:space="preserve"> XE "</w:instrText>
      </w:r>
      <w:r w:rsidR="00293611" w:rsidRPr="00CD56BD">
        <w:instrText>medical care</w:instrText>
      </w:r>
      <w:r w:rsidR="00293611">
        <w:instrText xml:space="preserve">" </w:instrText>
      </w:r>
      <w:r w:rsidR="00A95039">
        <w:fldChar w:fldCharType="end"/>
      </w:r>
      <w:r w:rsidRPr="00843A52">
        <w:t xml:space="preserve"> to the extent allowable as a medical expense deduction</w:t>
      </w:r>
      <w:r w:rsidR="00A5334A">
        <w:t>;</w:t>
      </w:r>
    </w:p>
    <w:p w14:paraId="5C909627" w14:textId="77777777" w:rsidR="00E17EC0" w:rsidRPr="00843A52" w:rsidRDefault="00E17EC0" w:rsidP="007A5E54">
      <w:pPr>
        <w:pStyle w:val="ListParagraph"/>
        <w:numPr>
          <w:ilvl w:val="0"/>
          <w:numId w:val="134"/>
        </w:numPr>
        <w:spacing w:before="120"/>
        <w:ind w:left="720"/>
      </w:pPr>
      <w:r w:rsidRPr="00843A52">
        <w:t>Made by unemployed individuals for the payment of health insurance premiums</w:t>
      </w:r>
      <w:r w:rsidR="00A5334A">
        <w:t>;</w:t>
      </w:r>
      <w:r w:rsidR="00A95039">
        <w:fldChar w:fldCharType="begin"/>
      </w:r>
      <w:r w:rsidR="00293611">
        <w:instrText xml:space="preserve"> XE "</w:instrText>
      </w:r>
      <w:r w:rsidR="00293611" w:rsidRPr="00CD56BD">
        <w:instrText>health insurance premiums</w:instrText>
      </w:r>
      <w:r w:rsidR="00293611">
        <w:instrText xml:space="preserve">" </w:instrText>
      </w:r>
      <w:r w:rsidR="00A95039">
        <w:fldChar w:fldCharType="end"/>
      </w:r>
    </w:p>
    <w:p w14:paraId="31DD42AA" w14:textId="77777777" w:rsidR="00434CE0" w:rsidRPr="00843A52" w:rsidRDefault="00434CE0" w:rsidP="007A5E54">
      <w:pPr>
        <w:pStyle w:val="ListParagraph"/>
        <w:numPr>
          <w:ilvl w:val="0"/>
          <w:numId w:val="134"/>
        </w:numPr>
        <w:spacing w:before="120"/>
        <w:ind w:left="720"/>
      </w:pPr>
      <w:r w:rsidRPr="00843A52">
        <w:t>Payment of q</w:t>
      </w:r>
      <w:r w:rsidR="00E17EC0" w:rsidRPr="00843A52">
        <w:t>ualified educational expenses</w:t>
      </w:r>
      <w:r w:rsidR="00A5334A">
        <w:t>;</w:t>
      </w:r>
    </w:p>
    <w:p w14:paraId="10534E33" w14:textId="77777777" w:rsidR="00E17EC0" w:rsidRPr="00843A52" w:rsidRDefault="00E17EC0" w:rsidP="007A5E54">
      <w:pPr>
        <w:pStyle w:val="ListParagraph"/>
        <w:numPr>
          <w:ilvl w:val="0"/>
          <w:numId w:val="134"/>
        </w:numPr>
        <w:spacing w:before="120"/>
        <w:ind w:left="720"/>
      </w:pPr>
      <w:r w:rsidRPr="00843A52">
        <w:t>A qualified first-time homebuyer distribution</w:t>
      </w:r>
      <w:r w:rsidR="00A5334A">
        <w:t>;</w:t>
      </w:r>
      <w:r w:rsidR="003A6970" w:rsidRPr="00843A52">
        <w:t xml:space="preserve"> </w:t>
      </w:r>
      <w:r w:rsidRPr="00843A52">
        <w:t>or</w:t>
      </w:r>
    </w:p>
    <w:p w14:paraId="66EBB738" w14:textId="77777777" w:rsidR="00E17EC0" w:rsidRPr="00843A52" w:rsidRDefault="00E17EC0" w:rsidP="007A5E54">
      <w:pPr>
        <w:pStyle w:val="ListParagraph"/>
        <w:numPr>
          <w:ilvl w:val="0"/>
          <w:numId w:val="134"/>
        </w:numPr>
        <w:spacing w:before="120"/>
        <w:ind w:left="720"/>
      </w:pPr>
      <w:r w:rsidRPr="00843A52">
        <w:t>Part of a series of substantially equal periodic payments</w:t>
      </w:r>
      <w:r w:rsidR="00A95039">
        <w:fldChar w:fldCharType="begin"/>
      </w:r>
      <w:r w:rsidR="00293611">
        <w:instrText xml:space="preserve"> XE "</w:instrText>
      </w:r>
      <w:r w:rsidR="00293611" w:rsidRPr="00CD56BD">
        <w:instrText>series of substantially equal periodic payments</w:instrText>
      </w:r>
      <w:r w:rsidR="00293611">
        <w:instrText xml:space="preserve">" </w:instrText>
      </w:r>
      <w:r w:rsidR="00A95039">
        <w:fldChar w:fldCharType="end"/>
      </w:r>
      <w:r w:rsidRPr="00843A52">
        <w:t xml:space="preserve"> made for the life or life expectancy of the individual or of the individual and a designated beneficiary</w:t>
      </w:r>
      <w:r w:rsidR="00A5334A">
        <w:t>.</w:t>
      </w:r>
    </w:p>
    <w:p w14:paraId="7BE0BE20" w14:textId="77777777" w:rsidR="00AF4C92" w:rsidRDefault="00AF4C92" w:rsidP="00AF4C92">
      <w:pPr>
        <w:pStyle w:val="Heading3"/>
      </w:pPr>
      <w:bookmarkStart w:id="87" w:name="_Toc252800584"/>
      <w:bookmarkStart w:id="88" w:name="_Toc338863983"/>
      <w:bookmarkStart w:id="89" w:name="_Toc404357182"/>
      <w:bookmarkStart w:id="90" w:name="_Toc48025262"/>
      <w:r>
        <w:t xml:space="preserve">No </w:t>
      </w:r>
      <w:r w:rsidR="00525DDF">
        <w:t xml:space="preserve">Lifetime </w:t>
      </w:r>
      <w:r>
        <w:t xml:space="preserve">Required </w:t>
      </w:r>
      <w:r w:rsidRPr="003E584C">
        <w:t>Distributions</w:t>
      </w:r>
      <w:bookmarkEnd w:id="87"/>
      <w:bookmarkEnd w:id="88"/>
      <w:bookmarkEnd w:id="89"/>
    </w:p>
    <w:p w14:paraId="77EAC935" w14:textId="77777777" w:rsidR="00DD394F" w:rsidRDefault="00AF4C92" w:rsidP="00DD394F">
      <w:r>
        <w:t xml:space="preserve">Unlike traditional IRAs, </w:t>
      </w:r>
      <w:r w:rsidR="000F56BF">
        <w:t xml:space="preserve">existing tax laws do not mandate that minimum distributions be made from </w:t>
      </w:r>
      <w:r>
        <w:t>Roth IRAs</w:t>
      </w:r>
      <w:r w:rsidR="000F56BF" w:rsidRPr="000F56BF">
        <w:t xml:space="preserve"> </w:t>
      </w:r>
      <w:r w:rsidR="000F56BF">
        <w:t>at any time during the owner’s lifetime.</w:t>
      </w:r>
      <w:r>
        <w:t xml:space="preserve">  Funds contributed to and accumulated within a Roth IRA can remain in the account as long as the owner wishes during his or her lifetime, even after age 70½. Because qualified Roth distributions create no tax liability for the Roth IRA owner (nor provide benefit for the federal coffers), there is no requirement that Roth IRAs must distribute their funds during the owner’s lifetime.</w:t>
      </w:r>
      <w:r>
        <w:rPr>
          <w:rStyle w:val="FootnoteReference"/>
        </w:rPr>
        <w:footnoteReference w:id="2"/>
      </w:r>
    </w:p>
    <w:p w14:paraId="0535F290" w14:textId="77777777" w:rsidR="00E17EC0" w:rsidRPr="00512570" w:rsidRDefault="00E17EC0" w:rsidP="008875DB">
      <w:pPr>
        <w:pStyle w:val="Heading2"/>
      </w:pPr>
      <w:bookmarkStart w:id="91" w:name="_Toc404357183"/>
      <w:r w:rsidRPr="00512570">
        <w:t>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rsidRPr="00512570">
        <w:t xml:space="preserve"> Conversions &amp; Transfers</w:t>
      </w:r>
      <w:bookmarkEnd w:id="90"/>
      <w:bookmarkEnd w:id="91"/>
    </w:p>
    <w:p w14:paraId="01A73EFB" w14:textId="77777777" w:rsidR="009D3B6D" w:rsidRDefault="003B2FAB" w:rsidP="00825E0B">
      <w:pPr>
        <w:rPr>
          <w:szCs w:val="22"/>
        </w:rPr>
      </w:pPr>
      <w:r>
        <w:rPr>
          <w:szCs w:val="22"/>
        </w:rPr>
        <w:t>Traditional IRAs were created in ERISA</w:t>
      </w:r>
      <w:r w:rsidR="00A95039">
        <w:rPr>
          <w:szCs w:val="22"/>
        </w:rPr>
        <w:fldChar w:fldCharType="begin"/>
      </w:r>
      <w:r w:rsidR="00293611">
        <w:instrText xml:space="preserve"> XE "</w:instrText>
      </w:r>
      <w:r w:rsidR="00293611" w:rsidRPr="00CD56BD">
        <w:instrText>ERISA</w:instrText>
      </w:r>
      <w:r w:rsidR="00293611">
        <w:instrText xml:space="preserve">" </w:instrText>
      </w:r>
      <w:r w:rsidR="00A95039">
        <w:rPr>
          <w:szCs w:val="22"/>
        </w:rPr>
        <w:fldChar w:fldCharType="end"/>
      </w:r>
      <w:r>
        <w:rPr>
          <w:szCs w:val="22"/>
        </w:rPr>
        <w:t xml:space="preserve"> in the 1970s.</w:t>
      </w:r>
      <w:r w:rsidR="00297ACB">
        <w:rPr>
          <w:szCs w:val="22"/>
        </w:rPr>
        <w:t xml:space="preserve"> </w:t>
      </w:r>
      <w:r>
        <w:rPr>
          <w:szCs w:val="22"/>
        </w:rPr>
        <w:t xml:space="preserve">When </w:t>
      </w:r>
      <w:r w:rsidR="00434CE0" w:rsidRPr="000B485C">
        <w:rPr>
          <w:szCs w:val="22"/>
        </w:rPr>
        <w:t>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434CE0" w:rsidRPr="000B485C">
        <w:rPr>
          <w:szCs w:val="22"/>
        </w:rPr>
        <w:t xml:space="preserve"> </w:t>
      </w:r>
      <w:r>
        <w:rPr>
          <w:szCs w:val="22"/>
        </w:rPr>
        <w:t>were created in 1997, lawmakers included a provision in the law to allow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owner to convert his or her traditional IRA </w:t>
      </w:r>
      <w:r w:rsidR="00434CE0" w:rsidRPr="000B485C">
        <w:rPr>
          <w:szCs w:val="22"/>
        </w:rPr>
        <w:t>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Pr>
          <w:szCs w:val="22"/>
        </w:rPr>
        <w:t xml:space="preserve">Whether or not </w:t>
      </w:r>
      <w:r w:rsidR="00434CE0" w:rsidRPr="000B485C">
        <w:rPr>
          <w:szCs w:val="22"/>
        </w:rPr>
        <w:t>conversion</w:t>
      </w:r>
      <w:r w:rsidR="00A95039">
        <w:rPr>
          <w:szCs w:val="22"/>
        </w:rPr>
        <w:fldChar w:fldCharType="begin"/>
      </w:r>
      <w:r w:rsidR="00293611">
        <w:instrText xml:space="preserve"> XE "</w:instrText>
      </w:r>
      <w:r w:rsidR="00293611" w:rsidRPr="00CD56BD">
        <w:rPr>
          <w:szCs w:val="22"/>
        </w:rPr>
        <w:instrText>Traditional to Roth IRA conversion</w:instrText>
      </w:r>
      <w:r w:rsidR="00293611">
        <w:instrText xml:space="preserve">" </w:instrText>
      </w:r>
      <w:r w:rsidR="00A95039">
        <w:rPr>
          <w:szCs w:val="22"/>
        </w:rPr>
        <w:fldChar w:fldCharType="end"/>
      </w:r>
      <w:r w:rsidR="00434CE0" w:rsidRPr="000B485C">
        <w:rPr>
          <w:szCs w:val="22"/>
        </w:rPr>
        <w:t xml:space="preserve"> </w:t>
      </w:r>
      <w:r>
        <w:rPr>
          <w:szCs w:val="22"/>
        </w:rPr>
        <w:t>is an appropriate strategy depends on the individual’s situation.</w:t>
      </w:r>
      <w:r w:rsidR="00297ACB">
        <w:rPr>
          <w:szCs w:val="22"/>
        </w:rPr>
        <w:t xml:space="preserve"> </w:t>
      </w:r>
    </w:p>
    <w:p w14:paraId="0827CD4C" w14:textId="77777777" w:rsidR="00434CE0" w:rsidRDefault="009D3B6D" w:rsidP="00825E0B">
      <w:pPr>
        <w:rPr>
          <w:szCs w:val="22"/>
        </w:rPr>
      </w:pPr>
      <w:r>
        <w:rPr>
          <w:szCs w:val="22"/>
        </w:rPr>
        <w:t>Up until 2010</w:t>
      </w:r>
      <w:r w:rsidR="00434CE0" w:rsidRPr="000B485C">
        <w:rPr>
          <w:szCs w:val="22"/>
        </w:rPr>
        <w:t xml:space="preserve">, </w:t>
      </w:r>
      <w:r w:rsidR="003B2FAB">
        <w:rPr>
          <w:szCs w:val="22"/>
        </w:rPr>
        <w:t>an individual’s</w:t>
      </w:r>
      <w:r w:rsidR="00434CE0" w:rsidRPr="000B485C">
        <w:rPr>
          <w:szCs w:val="22"/>
        </w:rPr>
        <w:t xml:space="preserve">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434CE0" w:rsidRPr="000B485C">
        <w:rPr>
          <w:szCs w:val="22"/>
        </w:rPr>
        <w:t xml:space="preserve"> </w:t>
      </w:r>
      <w:r>
        <w:rPr>
          <w:szCs w:val="22"/>
        </w:rPr>
        <w:t>could</w:t>
      </w:r>
      <w:r w:rsidR="00434CE0" w:rsidRPr="000B485C">
        <w:rPr>
          <w:szCs w:val="22"/>
        </w:rPr>
        <w:t xml:space="preserve"> not exceed $100,000 in the year of conversion</w:t>
      </w:r>
      <w:r w:rsidR="00A95039">
        <w:rPr>
          <w:szCs w:val="22"/>
        </w:rPr>
        <w:fldChar w:fldCharType="begin"/>
      </w:r>
      <w:r w:rsidR="00293611">
        <w:instrText xml:space="preserve"> XE "</w:instrText>
      </w:r>
      <w:r w:rsidR="00293611" w:rsidRPr="00CD56BD">
        <w:rPr>
          <w:szCs w:val="22"/>
        </w:rPr>
        <w:instrText>Traditional to Roth IRA conversion</w:instrText>
      </w:r>
      <w:r w:rsidR="00293611">
        <w:instrText xml:space="preserve">" </w:instrText>
      </w:r>
      <w:r w:rsidR="00A95039">
        <w:rPr>
          <w:szCs w:val="22"/>
        </w:rPr>
        <w:fldChar w:fldCharType="end"/>
      </w:r>
      <w:r w:rsidR="00434CE0" w:rsidRPr="000B485C">
        <w:rPr>
          <w:szCs w:val="22"/>
        </w:rPr>
        <w:t>.</w:t>
      </w:r>
      <w:r w:rsidR="00297ACB">
        <w:rPr>
          <w:szCs w:val="22"/>
        </w:rPr>
        <w:t xml:space="preserve"> </w:t>
      </w:r>
      <w:r w:rsidR="00434CE0" w:rsidRPr="000B485C">
        <w:rPr>
          <w:szCs w:val="22"/>
        </w:rPr>
        <w:t xml:space="preserve">If </w:t>
      </w:r>
      <w:r w:rsidR="003B2FAB">
        <w:rPr>
          <w:szCs w:val="22"/>
        </w:rPr>
        <w:t>the individual’</w:t>
      </w:r>
      <w:r w:rsidR="00434CE0" w:rsidRPr="000B485C">
        <w:rPr>
          <w:szCs w:val="22"/>
        </w:rPr>
        <w:t xml:space="preserve">s AGI </w:t>
      </w:r>
      <w:r>
        <w:rPr>
          <w:szCs w:val="22"/>
        </w:rPr>
        <w:t>wa</w:t>
      </w:r>
      <w:r w:rsidR="00434CE0" w:rsidRPr="000B485C">
        <w:rPr>
          <w:szCs w:val="22"/>
        </w:rPr>
        <w:t xml:space="preserve">s </w:t>
      </w:r>
      <w:r w:rsidR="003B2FAB">
        <w:rPr>
          <w:szCs w:val="22"/>
        </w:rPr>
        <w:t xml:space="preserve">more than </w:t>
      </w:r>
      <w:r w:rsidR="00434CE0" w:rsidRPr="000B485C">
        <w:rPr>
          <w:szCs w:val="22"/>
        </w:rPr>
        <w:t>$100,000, conversion</w:t>
      </w:r>
      <w:r w:rsidR="00A95039">
        <w:rPr>
          <w:szCs w:val="22"/>
        </w:rPr>
        <w:fldChar w:fldCharType="begin"/>
      </w:r>
      <w:r w:rsidR="00293611">
        <w:instrText xml:space="preserve"> XE "</w:instrText>
      </w:r>
      <w:r w:rsidR="00293611" w:rsidRPr="00CD56BD">
        <w:rPr>
          <w:szCs w:val="22"/>
        </w:rPr>
        <w:instrText>Traditional to Roth IRA conversion</w:instrText>
      </w:r>
      <w:r w:rsidR="00293611">
        <w:instrText xml:space="preserve">" </w:instrText>
      </w:r>
      <w:r w:rsidR="00A95039">
        <w:rPr>
          <w:szCs w:val="22"/>
        </w:rPr>
        <w:fldChar w:fldCharType="end"/>
      </w:r>
      <w:r w:rsidR="00434CE0" w:rsidRPr="000B485C">
        <w:rPr>
          <w:szCs w:val="22"/>
        </w:rPr>
        <w:t xml:space="preserve"> </w:t>
      </w:r>
      <w:r w:rsidR="003B2FAB">
        <w:rPr>
          <w:szCs w:val="22"/>
        </w:rPr>
        <w:t>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3B2FAB">
        <w:rPr>
          <w:szCs w:val="22"/>
        </w:rPr>
        <w:t xml:space="preserve"> to a </w:t>
      </w:r>
      <w:r w:rsidR="003B2FAB">
        <w:rPr>
          <w:szCs w:val="22"/>
        </w:rPr>
        <w:lastRenderedPageBreak/>
        <w:t>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3B2FAB">
        <w:rPr>
          <w:szCs w:val="22"/>
        </w:rPr>
        <w:t xml:space="preserve"> </w:t>
      </w:r>
      <w:r>
        <w:rPr>
          <w:szCs w:val="22"/>
        </w:rPr>
        <w:t>wa</w:t>
      </w:r>
      <w:r w:rsidR="00434CE0" w:rsidRPr="000B485C">
        <w:rPr>
          <w:szCs w:val="22"/>
        </w:rPr>
        <w:t>s not permitted.</w:t>
      </w:r>
      <w:r w:rsidR="00525DDF">
        <w:rPr>
          <w:szCs w:val="22"/>
        </w:rPr>
        <w:t xml:space="preserve"> Since January 1, 2010, a traditional IRA owner has been able to convert to a Roth IRA regardless of income.</w:t>
      </w:r>
    </w:p>
    <w:p w14:paraId="79FB933B" w14:textId="77777777" w:rsidR="007F049B" w:rsidRDefault="007F049B" w:rsidP="007F049B">
      <w:r w:rsidRPr="000B485C">
        <w:t xml:space="preserve">When </w:t>
      </w:r>
      <w:r>
        <w:t xml:space="preserve">a </w:t>
      </w:r>
      <w:r w:rsidRPr="003E584C">
        <w:t>traditional</w:t>
      </w:r>
      <w:r>
        <w:t xml:space="preserve"> IRA owner</w:t>
      </w:r>
      <w:r w:rsidRPr="000B485C">
        <w:t xml:space="preserve"> converts to a Roth IRA, those previously-untaxed funds are subject to income taxation.</w:t>
      </w:r>
      <w:r>
        <w:t xml:space="preserve"> However, i</w:t>
      </w:r>
      <w:r w:rsidRPr="000B485C">
        <w:t xml:space="preserve">f </w:t>
      </w:r>
      <w:r>
        <w:t>a traditional IRA owner made</w:t>
      </w:r>
      <w:r w:rsidRPr="000B485C">
        <w:t xml:space="preserve"> th</w:t>
      </w:r>
      <w:r>
        <w:t>e</w:t>
      </w:r>
      <w:r w:rsidRPr="000B485C">
        <w:t xml:space="preserve"> conversion </w:t>
      </w:r>
      <w:r>
        <w:t xml:space="preserve">to a Roth IRA </w:t>
      </w:r>
      <w:r w:rsidRPr="000B485C">
        <w:t xml:space="preserve">in </w:t>
      </w:r>
      <w:r>
        <w:t>2010</w:t>
      </w:r>
      <w:r w:rsidRPr="000B485C">
        <w:t>, he or she also enj</w:t>
      </w:r>
      <w:r>
        <w:t>oyed another income tax advantage:</w:t>
      </w:r>
      <w:r w:rsidRPr="000B485C">
        <w:t xml:space="preserve"> </w:t>
      </w:r>
      <w:r>
        <w:t>p</w:t>
      </w:r>
      <w:r w:rsidRPr="000B485C">
        <w:t xml:space="preserve">ro rata payment of income taxes on the amount converted over a </w:t>
      </w:r>
      <w:r>
        <w:t>two</w:t>
      </w:r>
      <w:r w:rsidRPr="000B485C">
        <w:t>-year period</w:t>
      </w:r>
      <w:r>
        <w:t>. In other words, if $200,000 was subject to taxation because of conversion, only $100,000 is taxed in each of two successive years. The result is a reduction in the income tax liability.</w:t>
      </w:r>
      <w:r w:rsidR="002D0063" w:rsidRPr="002D0063">
        <w:t xml:space="preserve"> </w:t>
      </w:r>
      <w:r w:rsidR="002D0063">
        <w:t>(This tax liability splitting applies only for conversions made in 2010.)</w:t>
      </w:r>
      <w:r>
        <w:t xml:space="preserve"> Furthermore, a</w:t>
      </w:r>
      <w:r w:rsidRPr="000B485C">
        <w:t xml:space="preserve">lthough income taxes must be paid on the amount of the </w:t>
      </w:r>
      <w:r>
        <w:t xml:space="preserve">before-tax </w:t>
      </w:r>
      <w:r w:rsidRPr="000B485C">
        <w:t>traditional IRA</w:t>
      </w:r>
      <w:r>
        <w:t xml:space="preserve"> contributions and earnings</w:t>
      </w:r>
      <w:r w:rsidRPr="000B485C">
        <w:t xml:space="preserve"> converted to the Roth IRA, no premat</w:t>
      </w:r>
      <w:r>
        <w:t xml:space="preserve">ure withdrawal tax penalty </w:t>
      </w:r>
      <w:r w:rsidRPr="000B485C">
        <w:t>applies.</w:t>
      </w:r>
      <w:r>
        <w:t xml:space="preserve">  </w:t>
      </w:r>
    </w:p>
    <w:p w14:paraId="434C33BC" w14:textId="77777777" w:rsidR="00E41889" w:rsidRDefault="00E41889" w:rsidP="00E41889">
      <w:pPr>
        <w:pStyle w:val="Heading2"/>
      </w:pPr>
      <w:bookmarkStart w:id="92" w:name="_Toc249879640"/>
      <w:bookmarkStart w:id="93" w:name="_Toc250473321"/>
      <w:bookmarkStart w:id="94" w:name="_Toc404357184"/>
      <w:r>
        <w:t>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Death Benefit Distributions</w:t>
      </w:r>
      <w:bookmarkEnd w:id="92"/>
      <w:bookmarkEnd w:id="93"/>
      <w:bookmarkEnd w:id="94"/>
    </w:p>
    <w:p w14:paraId="5D6987BD" w14:textId="77777777" w:rsidR="00E41889" w:rsidRDefault="000F56BF" w:rsidP="00E41889">
      <w:r>
        <w:t>As discussed earlier, t</w:t>
      </w:r>
      <w:r w:rsidR="00E41889">
        <w:t>he rules governing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rsidR="00E41889">
        <w:t xml:space="preserve"> benefit distributions under </w:t>
      </w:r>
      <w:r w:rsidR="00E41889" w:rsidRPr="0094670A">
        <w:rPr>
          <w:i/>
        </w:rPr>
        <w:t>traditional</w:t>
      </w:r>
      <w:r w:rsidR="00E41889">
        <w:t xml:space="preserve"> IRAs vary depending on whether the IRA owner died before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rsidR="00E41889">
        <w:t xml:space="preserve"> or later. However, there is no “required beginning date” for lifetime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rsidR="00E41889">
        <w:t xml:space="preserve"> distributions. So, the rules governing </w:t>
      </w:r>
      <w:r w:rsidR="00E41889" w:rsidRPr="0094670A">
        <w:rPr>
          <w:i/>
        </w:rPr>
        <w:t>Roth</w:t>
      </w:r>
      <w:r w:rsidR="00E41889">
        <w:t xml:space="preserve"> IRA distributions at the IRA owner’s death are identical to those applicable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rsidR="00E41889">
        <w:t xml:space="preserve"> owner’s death before the required beginning date.</w:t>
      </w:r>
    </w:p>
    <w:p w14:paraId="348952B3" w14:textId="77777777" w:rsidR="00E41889" w:rsidRDefault="00E41889" w:rsidP="00E41889">
      <w:r>
        <w:t>Thus, at a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distributions must normally be made pursuant to the:</w:t>
      </w:r>
    </w:p>
    <w:p w14:paraId="13366C3B" w14:textId="77777777" w:rsidR="00E41889" w:rsidRDefault="00E41889" w:rsidP="007A5E54">
      <w:pPr>
        <w:pStyle w:val="ListParagraph"/>
        <w:numPr>
          <w:ilvl w:val="0"/>
          <w:numId w:val="135"/>
        </w:numPr>
        <w:spacing w:before="120"/>
        <w:ind w:left="720"/>
      </w:pPr>
      <w:r>
        <w:t>Life expectancy rule; or</w:t>
      </w:r>
    </w:p>
    <w:p w14:paraId="29E2C6B0" w14:textId="77777777" w:rsidR="00E41889" w:rsidRDefault="00E41889" w:rsidP="007A5E54">
      <w:pPr>
        <w:pStyle w:val="ListParagraph"/>
        <w:numPr>
          <w:ilvl w:val="0"/>
          <w:numId w:val="135"/>
        </w:numPr>
        <w:spacing w:before="120"/>
        <w:ind w:left="720"/>
      </w:pPr>
      <w:r>
        <w:t>Five-year rule.</w:t>
      </w:r>
    </w:p>
    <w:p w14:paraId="7BED0AB3" w14:textId="77777777" w:rsidR="00E41889" w:rsidRDefault="00E41889" w:rsidP="00E41889">
      <w:pPr>
        <w:pStyle w:val="Heading3"/>
      </w:pPr>
      <w:bookmarkStart w:id="95" w:name="_Toc250473322"/>
      <w:bookmarkStart w:id="96" w:name="_Toc404357185"/>
      <w:r>
        <w:t>Life Expectancy Rule</w:t>
      </w:r>
      <w:bookmarkEnd w:id="95"/>
      <w:bookmarkEnd w:id="96"/>
    </w:p>
    <w:p w14:paraId="4FC08125" w14:textId="77777777" w:rsidR="00E41889" w:rsidRDefault="00E41889" w:rsidP="00E41889">
      <w:r>
        <w:t>If a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beneficiary elects to receive a distribution under the life expectancy rule</w:t>
      </w:r>
      <w:r w:rsidR="00A95039">
        <w:fldChar w:fldCharType="begin"/>
      </w:r>
      <w:r w:rsidR="00293611">
        <w:instrText xml:space="preserve"> XE "</w:instrText>
      </w:r>
      <w:r w:rsidR="00293611" w:rsidRPr="00CD56BD">
        <w:instrText>life expectancy rule</w:instrText>
      </w:r>
      <w:r w:rsidR="00293611">
        <w:instrText xml:space="preserve">" </w:instrText>
      </w:r>
      <w:r w:rsidR="00A95039">
        <w:fldChar w:fldCharType="end"/>
      </w:r>
      <w:r>
        <w:t>, the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must generally be distributed over his or her life or life expectancy and must start no later than the end of the calendar year immediately following the year of the IRA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The life expectancy distribution rules are changed somewhat when the beneficiary is a surviving spouse. </w:t>
      </w:r>
    </w:p>
    <w:p w14:paraId="272735B2" w14:textId="77777777" w:rsidR="00E41889" w:rsidRDefault="00E41889" w:rsidP="00E41889">
      <w:pPr>
        <w:pStyle w:val="Heading4"/>
      </w:pPr>
      <w:bookmarkStart w:id="97" w:name="_Toc250473323"/>
      <w:bookmarkStart w:id="98" w:name="_Toc404357186"/>
      <w:r>
        <w:t>Surviving Spouse’s Life Expectancy Rule</w:t>
      </w:r>
      <w:bookmarkEnd w:id="97"/>
      <w:bookmarkEnd w:id="98"/>
    </w:p>
    <w:p w14:paraId="2643AB8F" w14:textId="77777777" w:rsidR="00E41889" w:rsidRDefault="00E41889" w:rsidP="00E41889">
      <w:r>
        <w:t>A surviving spouse beneficiary</w:t>
      </w:r>
      <w:r w:rsidR="00A95039">
        <w:fldChar w:fldCharType="begin"/>
      </w:r>
      <w:r w:rsidR="00293611">
        <w:instrText xml:space="preserve"> XE "</w:instrText>
      </w:r>
      <w:r w:rsidR="00293611" w:rsidRPr="00CD56BD">
        <w:instrText>surviving spouse beneficiary</w:instrText>
      </w:r>
      <w:r w:rsidR="00293611">
        <w:instrText xml:space="preserve">" </w:instrText>
      </w:r>
      <w:r w:rsidR="00A95039">
        <w:fldChar w:fldCharType="end"/>
      </w:r>
      <w:r>
        <w:t xml:space="preserve"> may choose to treat the deceased owner’s </w:t>
      </w:r>
      <w:r w:rsidR="000F56BF">
        <w:t xml:space="preserve">Roth </w:t>
      </w:r>
      <w:r>
        <w:t>IRA as his or her own. However, if the surviving spouse does not choose to treat the IRA as his or her own and elects to receive distributions over his or her life expectancy, such distributions must begin by the later of the end of the calendar year:</w:t>
      </w:r>
    </w:p>
    <w:p w14:paraId="0D1941C7" w14:textId="77777777" w:rsidR="00E41889" w:rsidRDefault="00E41889" w:rsidP="007A5E54">
      <w:pPr>
        <w:pStyle w:val="ListParagraph"/>
        <w:numPr>
          <w:ilvl w:val="0"/>
          <w:numId w:val="136"/>
        </w:numPr>
        <w:spacing w:before="120"/>
        <w:ind w:left="720"/>
      </w:pPr>
      <w:r>
        <w:t>Immediately following the calendar year in which the IRA owner died; or</w:t>
      </w:r>
    </w:p>
    <w:p w14:paraId="1CFD24F2" w14:textId="77777777" w:rsidR="00E41889" w:rsidRDefault="00E41889" w:rsidP="007A5E54">
      <w:pPr>
        <w:pStyle w:val="ListParagraph"/>
        <w:numPr>
          <w:ilvl w:val="0"/>
          <w:numId w:val="136"/>
        </w:numPr>
        <w:spacing w:before="120"/>
        <w:ind w:left="720"/>
      </w:pPr>
      <w:r>
        <w:t xml:space="preserve">In which the </w:t>
      </w:r>
      <w:r w:rsidR="00414FD5">
        <w:t xml:space="preserve">deceased </w:t>
      </w:r>
      <w:r>
        <w:t>owner would have reached age 70½</w:t>
      </w:r>
      <w:r w:rsidR="00A95039">
        <w:fldChar w:fldCharType="begin"/>
      </w:r>
      <w:r w:rsidR="00293611">
        <w:instrText xml:space="preserve"> XE "</w:instrText>
      </w:r>
      <w:r w:rsidR="00293611" w:rsidRPr="00A5334A">
        <w:rPr>
          <w:szCs w:val="22"/>
        </w:rPr>
        <w:instrText>age 70½</w:instrText>
      </w:r>
      <w:r w:rsidR="00293611">
        <w:instrText xml:space="preserve">" </w:instrText>
      </w:r>
      <w:r w:rsidR="00A95039">
        <w:fldChar w:fldCharType="end"/>
      </w:r>
      <w:r>
        <w:t>.</w:t>
      </w:r>
    </w:p>
    <w:p w14:paraId="367F0D7D" w14:textId="77777777" w:rsidR="00E41889" w:rsidRDefault="00E41889" w:rsidP="00E41889">
      <w:pPr>
        <w:pStyle w:val="Heading3"/>
      </w:pPr>
      <w:bookmarkStart w:id="99" w:name="_Toc250473324"/>
      <w:bookmarkStart w:id="100" w:name="_Toc404357187"/>
      <w:r>
        <w:t>Five-Year Rule</w:t>
      </w:r>
      <w:bookmarkEnd w:id="99"/>
      <w:bookmarkEnd w:id="100"/>
    </w:p>
    <w:p w14:paraId="43354961" w14:textId="77777777" w:rsidR="00E41889" w:rsidRDefault="00E41889" w:rsidP="00E41889">
      <w:r>
        <w:t>In an IRA distribution taken under the five-year rule</w:t>
      </w:r>
      <w:r w:rsidR="00A95039">
        <w:fldChar w:fldCharType="begin"/>
      </w:r>
      <w:r w:rsidR="00293611">
        <w:instrText xml:space="preserve"> XE "</w:instrText>
      </w:r>
      <w:r w:rsidR="00293611" w:rsidRPr="00CD56BD">
        <w:instrText>five-year rule</w:instrText>
      </w:r>
      <w:r w:rsidR="00293611">
        <w:instrText xml:space="preserve">" </w:instrText>
      </w:r>
      <w:r w:rsidR="00A95039">
        <w:fldChar w:fldCharType="end"/>
      </w:r>
      <w:r>
        <w:t>, a beneficiary's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must be completely distributed within five years following the </w:t>
      </w:r>
      <w:r w:rsidR="00414FD5">
        <w:t xml:space="preserve">Roth </w:t>
      </w:r>
      <w:r>
        <w:t>IRA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w:t>
      </w:r>
    </w:p>
    <w:p w14:paraId="6E4CE753" w14:textId="77777777" w:rsidR="00E41889" w:rsidRPr="00624568" w:rsidRDefault="00E41889" w:rsidP="00E41889">
      <w:pPr>
        <w:pStyle w:val="Heading3"/>
      </w:pPr>
      <w:bookmarkStart w:id="101" w:name="_Toc250473325"/>
      <w:bookmarkStart w:id="102" w:name="_Toc404357188"/>
      <w:r>
        <w:t>Surviving Spouse’s Election</w:t>
      </w:r>
      <w:bookmarkEnd w:id="101"/>
      <w:bookmarkEnd w:id="102"/>
    </w:p>
    <w:p w14:paraId="17535A3C" w14:textId="77777777" w:rsidR="00E41889" w:rsidRDefault="00E41889" w:rsidP="00E41889">
      <w:r>
        <w:t xml:space="preserve">Under certain circumstances, a surviving spouse may elect to treat the </w:t>
      </w:r>
      <w:r w:rsidR="00414FD5">
        <w:t xml:space="preserve">Roth </w:t>
      </w:r>
      <w:r>
        <w:t xml:space="preserve">IRA as his or her own and be considered—for all income tax purposes—as the IRA owner. In order to make such an election, the surviving spouse: </w:t>
      </w:r>
    </w:p>
    <w:p w14:paraId="73B965AB" w14:textId="77777777" w:rsidR="00E41889" w:rsidRDefault="00E41889" w:rsidP="007A5E54">
      <w:pPr>
        <w:pStyle w:val="ListParagraph"/>
        <w:numPr>
          <w:ilvl w:val="0"/>
          <w:numId w:val="137"/>
        </w:numPr>
        <w:spacing w:before="120"/>
        <w:ind w:left="720"/>
      </w:pPr>
      <w:r>
        <w:t xml:space="preserve">Must be the sole beneficiary; and </w:t>
      </w:r>
    </w:p>
    <w:p w14:paraId="2A7E41F7" w14:textId="77777777" w:rsidR="00E41889" w:rsidRDefault="00E41889" w:rsidP="007A5E54">
      <w:pPr>
        <w:pStyle w:val="ListParagraph"/>
        <w:numPr>
          <w:ilvl w:val="0"/>
          <w:numId w:val="137"/>
        </w:numPr>
        <w:spacing w:before="120"/>
        <w:ind w:left="720"/>
      </w:pPr>
      <w:r>
        <w:lastRenderedPageBreak/>
        <w:t>Must have an unlimited right to make withdrawals.</w:t>
      </w:r>
    </w:p>
    <w:p w14:paraId="48B5697C" w14:textId="77777777" w:rsidR="00454C19" w:rsidRPr="000B485C" w:rsidRDefault="00E41889" w:rsidP="00E41889">
      <w:pPr>
        <w:rPr>
          <w:szCs w:val="22"/>
        </w:rPr>
      </w:pPr>
      <w:r>
        <w:t>If the spouse is eligible for and makes the surviving spouse’s election</w:t>
      </w:r>
      <w:r w:rsidR="00A95039">
        <w:fldChar w:fldCharType="begin"/>
      </w:r>
      <w:r w:rsidR="00293611">
        <w:instrText xml:space="preserve"> XE "</w:instrText>
      </w:r>
      <w:r w:rsidR="00293611" w:rsidRPr="00CD56BD">
        <w:instrText>surviving spouse’s election</w:instrText>
      </w:r>
      <w:r w:rsidR="00293611">
        <w:instrText xml:space="preserve">" </w:instrText>
      </w:r>
      <w:r w:rsidR="00A95039">
        <w:fldChar w:fldCharType="end"/>
      </w:r>
      <w:r>
        <w:t xml:space="preserve">, withdrawals </w:t>
      </w:r>
      <w:r w:rsidR="00414FD5">
        <w:t xml:space="preserve">of gain </w:t>
      </w:r>
      <w:r>
        <w:t>made by the spouse before 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t xml:space="preserve"> would be subject to a premature distribution tax penalty. Furthermore, a tax-free distribution of gain must meet the criteria for a 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w:t>
      </w:r>
    </w:p>
    <w:p w14:paraId="729CA232" w14:textId="77777777" w:rsidR="00280E8E" w:rsidRPr="00512570" w:rsidRDefault="00280E8E" w:rsidP="008875DB">
      <w:pPr>
        <w:pStyle w:val="Heading2"/>
      </w:pPr>
      <w:bookmarkStart w:id="103" w:name="_Toc48025263"/>
      <w:bookmarkStart w:id="104" w:name="_Toc404357189"/>
      <w:r w:rsidRPr="00512570">
        <w:t>Summary</w:t>
      </w:r>
      <w:bookmarkEnd w:id="103"/>
      <w:bookmarkEnd w:id="104"/>
    </w:p>
    <w:p w14:paraId="7E07446F" w14:textId="77777777" w:rsidR="008C1E42" w:rsidRDefault="008C1E42" w:rsidP="00825E0B">
      <w:pPr>
        <w:rPr>
          <w:szCs w:val="22"/>
        </w:rPr>
      </w:pPr>
      <w:r>
        <w:rPr>
          <w:szCs w:val="22"/>
        </w:rPr>
        <w:t>After twenty-five years of traditional IRAs,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xml:space="preserve"> were introduced in 1997.</w:t>
      </w:r>
      <w:r w:rsidR="00297ACB">
        <w:rPr>
          <w:szCs w:val="22"/>
        </w:rPr>
        <w:t xml:space="preserve"> </w:t>
      </w:r>
      <w:r>
        <w:rPr>
          <w:szCs w:val="22"/>
        </w:rPr>
        <w:t>Although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owners forgo a current income tax deduction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Pr>
          <w:szCs w:val="22"/>
        </w:rPr>
        <w:t xml:space="preserve"> for their contributions, income taxation of their earnings is deferred and </w:t>
      </w:r>
      <w:r w:rsidR="00372357">
        <w:rPr>
          <w:szCs w:val="22"/>
        </w:rPr>
        <w:t xml:space="preserve">earnings </w:t>
      </w:r>
      <w:r>
        <w:rPr>
          <w:szCs w:val="22"/>
        </w:rPr>
        <w:t>may be tax free when distributed.</w:t>
      </w:r>
      <w:r w:rsidR="00297ACB">
        <w:rPr>
          <w:szCs w:val="22"/>
        </w:rPr>
        <w:t xml:space="preserve"> </w:t>
      </w:r>
      <w:r w:rsidR="00372357">
        <w:rPr>
          <w:szCs w:val="22"/>
        </w:rPr>
        <w:t>Unlike traditional IRAs, to which virtually anyone may contribute, eligibility for a Roth IRA is phased out at higher income levels.</w:t>
      </w:r>
      <w:r w:rsidR="00297ACB">
        <w:rPr>
          <w:szCs w:val="22"/>
        </w:rPr>
        <w:t xml:space="preserve"> </w:t>
      </w:r>
      <w:r w:rsidR="00372357">
        <w:rPr>
          <w:szCs w:val="22"/>
        </w:rPr>
        <w:t>Roth IRA eligibility is unaffected, however, by active participation in an employer-sponsored qualified plan.</w:t>
      </w:r>
    </w:p>
    <w:p w14:paraId="77D9424B" w14:textId="77777777" w:rsidR="00372357" w:rsidRDefault="00372357" w:rsidP="008875DB">
      <w:pPr>
        <w:rPr>
          <w:szCs w:val="22"/>
        </w:rPr>
      </w:pPr>
      <w:r>
        <w:rPr>
          <w:szCs w:val="22"/>
        </w:rPr>
        <w:t>The principal attraction of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is the possibility that all earnings may be received tax free in a qualified distribution</w:t>
      </w:r>
      <w:r w:rsidR="00A95039">
        <w:rPr>
          <w:szCs w:val="22"/>
        </w:rPr>
        <w:fldChar w:fldCharType="begin"/>
      </w:r>
      <w:r w:rsidR="00293611">
        <w:instrText xml:space="preserve"> XE "</w:instrText>
      </w:r>
      <w:r w:rsidR="00293611" w:rsidRPr="00CD56BD">
        <w:rPr>
          <w:szCs w:val="22"/>
        </w:rPr>
        <w:instrText>qualified distribution</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A qualified distribution from a Roth IRA is one that is made </w:t>
      </w:r>
      <w:r w:rsidR="00525DDF">
        <w:rPr>
          <w:szCs w:val="22"/>
        </w:rPr>
        <w:t xml:space="preserve">after the five-taxable year period beginning with the first taxable year for which the individual made a contribution to a Roth IRA </w:t>
      </w:r>
      <w:r>
        <w:rPr>
          <w:szCs w:val="22"/>
        </w:rPr>
        <w:t xml:space="preserve">and the </w:t>
      </w:r>
      <w:r w:rsidRPr="000B485C">
        <w:rPr>
          <w:szCs w:val="22"/>
        </w:rPr>
        <w:t>individual is age 59</w:t>
      </w:r>
      <w:r>
        <w:rPr>
          <w:szCs w:val="22"/>
        </w:rPr>
        <w:t>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 </w:t>
      </w:r>
      <w:r w:rsidRPr="000B485C">
        <w:rPr>
          <w:szCs w:val="22"/>
        </w:rPr>
        <w:t>or older</w:t>
      </w:r>
      <w:r>
        <w:rPr>
          <w:szCs w:val="22"/>
        </w:rPr>
        <w:t>, the distribution</w:t>
      </w:r>
      <w:r w:rsidRPr="000B485C">
        <w:rPr>
          <w:szCs w:val="22"/>
        </w:rPr>
        <w:t xml:space="preserve"> is a qualified first-time homebuyer distribution</w:t>
      </w:r>
      <w:r>
        <w:rPr>
          <w:szCs w:val="22"/>
        </w:rPr>
        <w:t xml:space="preserve"> or is attributable to the owner’s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Pr>
          <w:szCs w:val="22"/>
        </w:rPr>
        <w:t xml:space="preserve"> or disability</w:t>
      </w:r>
      <w:r w:rsidR="00A95039">
        <w:rPr>
          <w:szCs w:val="22"/>
        </w:rPr>
        <w:fldChar w:fldCharType="begin"/>
      </w:r>
      <w:r w:rsidR="00293611">
        <w:instrText xml:space="preserve"> XE "</w:instrText>
      </w:r>
      <w:r w:rsidR="00293611" w:rsidRPr="00CD56BD">
        <w:instrText>disability</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Traditional IRAs may also be converted to Roth </w:t>
      </w:r>
      <w:r w:rsidR="00985108">
        <w:rPr>
          <w:szCs w:val="22"/>
        </w:rPr>
        <w:t>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985108">
        <w:rPr>
          <w:szCs w:val="22"/>
        </w:rPr>
        <w:t>;</w:t>
      </w:r>
      <w:r>
        <w:rPr>
          <w:szCs w:val="22"/>
        </w:rPr>
        <w:t xml:space="preserve"> however the funds converted are includible in the owner’s income for tax purposes </w:t>
      </w:r>
      <w:r w:rsidR="00C0673E">
        <w:rPr>
          <w:szCs w:val="22"/>
        </w:rPr>
        <w:t xml:space="preserve">generally </w:t>
      </w:r>
      <w:r>
        <w:rPr>
          <w:szCs w:val="22"/>
        </w:rPr>
        <w:t>in the year of conversion</w:t>
      </w:r>
      <w:r w:rsidR="00A95039">
        <w:rPr>
          <w:szCs w:val="22"/>
        </w:rPr>
        <w:fldChar w:fldCharType="begin"/>
      </w:r>
      <w:r w:rsidR="00293611">
        <w:instrText xml:space="preserve"> XE "</w:instrText>
      </w:r>
      <w:r w:rsidR="00293611" w:rsidRPr="00CD56BD">
        <w:rPr>
          <w:szCs w:val="22"/>
        </w:rPr>
        <w:instrText>Traditional to Roth IRA conversion</w:instrText>
      </w:r>
      <w:r w:rsidR="00293611">
        <w:instrText xml:space="preserve">" </w:instrText>
      </w:r>
      <w:r w:rsidR="00A95039">
        <w:rPr>
          <w:szCs w:val="22"/>
        </w:rPr>
        <w:fldChar w:fldCharType="end"/>
      </w:r>
      <w:r>
        <w:rPr>
          <w:szCs w:val="22"/>
        </w:rPr>
        <w:t>.</w:t>
      </w:r>
    </w:p>
    <w:p w14:paraId="64D12DB5" w14:textId="77777777" w:rsidR="00D8380C" w:rsidRDefault="00D8380C" w:rsidP="00D8380C">
      <w:pPr>
        <w:pStyle w:val="Heading2"/>
      </w:pPr>
      <w:bookmarkStart w:id="105" w:name="_Toc404357190"/>
      <w:r>
        <w:t>Review Quiz #4</w:t>
      </w:r>
      <w:bookmarkEnd w:id="105"/>
    </w:p>
    <w:p w14:paraId="47D35956" w14:textId="77777777" w:rsidR="0079772F" w:rsidRDefault="0079772F" w:rsidP="0079772F">
      <w:pPr>
        <w:ind w:left="360" w:hanging="360"/>
      </w:pPr>
      <w:r>
        <w:t>1.   Allen is age 45, files a joint federal income tax form with his wife and has an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of $1</w:t>
      </w:r>
      <w:r w:rsidR="00982055">
        <w:t>8</w:t>
      </w:r>
      <w:r w:rsidR="00525DDF">
        <w:t>9</w:t>
      </w:r>
      <w:r>
        <w:t>,000 in 201</w:t>
      </w:r>
      <w:r w:rsidR="00525DDF">
        <w:t>5</w:t>
      </w:r>
      <w:r>
        <w:t>. What is the maximum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contribution he may make in 201</w:t>
      </w:r>
      <w:r w:rsidR="00525DDF">
        <w:t>5</w:t>
      </w:r>
      <w:r w:rsidRPr="00C524CF">
        <w:t xml:space="preserve"> </w:t>
      </w:r>
      <w:r>
        <w:t>when the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xml:space="preserve"> is $1</w:t>
      </w:r>
      <w:r w:rsidR="00414FD5">
        <w:t>8</w:t>
      </w:r>
      <w:r w:rsidR="00525DDF">
        <w:t>3</w:t>
      </w:r>
      <w:r>
        <w:t xml:space="preserve">,000? </w:t>
      </w:r>
    </w:p>
    <w:p w14:paraId="12171741" w14:textId="77777777" w:rsidR="0079772F" w:rsidRDefault="0079772F" w:rsidP="007A5E54">
      <w:pPr>
        <w:numPr>
          <w:ilvl w:val="0"/>
          <w:numId w:val="72"/>
        </w:numPr>
        <w:spacing w:before="120"/>
      </w:pPr>
      <w:r>
        <w:t>$0</w:t>
      </w:r>
    </w:p>
    <w:p w14:paraId="1AE3D861" w14:textId="77777777" w:rsidR="0079772F" w:rsidRDefault="0079772F" w:rsidP="007A5E54">
      <w:pPr>
        <w:numPr>
          <w:ilvl w:val="0"/>
          <w:numId w:val="72"/>
        </w:numPr>
        <w:spacing w:before="120"/>
      </w:pPr>
      <w:r>
        <w:t>$2,</w:t>
      </w:r>
      <w:r w:rsidR="00982055">
        <w:t>2</w:t>
      </w:r>
      <w:r>
        <w:t>00</w:t>
      </w:r>
    </w:p>
    <w:p w14:paraId="31F0CAD2" w14:textId="77777777" w:rsidR="0079772F" w:rsidRDefault="0079772F" w:rsidP="007A5E54">
      <w:pPr>
        <w:numPr>
          <w:ilvl w:val="0"/>
          <w:numId w:val="72"/>
        </w:numPr>
        <w:spacing w:before="120"/>
      </w:pPr>
      <w:r>
        <w:t>$3,</w:t>
      </w:r>
      <w:r w:rsidR="00982055">
        <w:t>3</w:t>
      </w:r>
      <w:r>
        <w:t>00</w:t>
      </w:r>
    </w:p>
    <w:p w14:paraId="7DA19BFF" w14:textId="77777777" w:rsidR="0079772F" w:rsidRDefault="0079772F" w:rsidP="007A5E54">
      <w:pPr>
        <w:numPr>
          <w:ilvl w:val="0"/>
          <w:numId w:val="72"/>
        </w:numPr>
        <w:spacing w:before="120"/>
      </w:pPr>
      <w:r>
        <w:t>$5,</w:t>
      </w:r>
      <w:r w:rsidR="00982055">
        <w:t>5</w:t>
      </w:r>
      <w:r>
        <w:t>00</w:t>
      </w:r>
    </w:p>
    <w:p w14:paraId="3BEA914E" w14:textId="77777777" w:rsidR="0079772F" w:rsidRDefault="0079772F" w:rsidP="0079772F">
      <w:pPr>
        <w:ind w:left="360" w:hanging="360"/>
      </w:pPr>
      <w:r>
        <w:t>2.   Audrey, age 42, contributed $30,000 to a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she established eight years ago and has never taken a </w:t>
      </w:r>
      <w:r w:rsidR="00982055">
        <w:t>distribution</w:t>
      </w:r>
      <w:r>
        <w:t>. Her current account value is $45,000. How much income, if any, must she recognize if she withdraws $25,000?</w:t>
      </w:r>
    </w:p>
    <w:p w14:paraId="30D526FE" w14:textId="77777777" w:rsidR="0079772F" w:rsidRDefault="0079772F" w:rsidP="007A5E54">
      <w:pPr>
        <w:numPr>
          <w:ilvl w:val="0"/>
          <w:numId w:val="74"/>
        </w:numPr>
        <w:spacing w:before="120"/>
      </w:pPr>
      <w:r>
        <w:t>$0</w:t>
      </w:r>
    </w:p>
    <w:p w14:paraId="7C45A6F3" w14:textId="77777777" w:rsidR="0079772F" w:rsidRDefault="0079772F" w:rsidP="007A5E54">
      <w:pPr>
        <w:numPr>
          <w:ilvl w:val="0"/>
          <w:numId w:val="74"/>
        </w:numPr>
        <w:spacing w:before="120"/>
      </w:pPr>
      <w:r>
        <w:t>$5,000</w:t>
      </w:r>
    </w:p>
    <w:p w14:paraId="1722BFD3" w14:textId="77777777" w:rsidR="0079772F" w:rsidRDefault="0079772F" w:rsidP="007A5E54">
      <w:pPr>
        <w:numPr>
          <w:ilvl w:val="0"/>
          <w:numId w:val="74"/>
        </w:numPr>
        <w:spacing w:before="120"/>
      </w:pPr>
      <w:r>
        <w:t>$15,000</w:t>
      </w:r>
    </w:p>
    <w:p w14:paraId="2B25CBC2" w14:textId="77777777" w:rsidR="0079772F" w:rsidRDefault="0079772F" w:rsidP="007A5E54">
      <w:pPr>
        <w:numPr>
          <w:ilvl w:val="0"/>
          <w:numId w:val="74"/>
        </w:numPr>
        <w:spacing w:before="120"/>
      </w:pPr>
      <w:r>
        <w:t xml:space="preserve">$25,000  </w:t>
      </w:r>
    </w:p>
    <w:p w14:paraId="64069D9A" w14:textId="77777777" w:rsidR="0079772F" w:rsidRDefault="0079772F" w:rsidP="0079772F">
      <w:pPr>
        <w:ind w:left="360" w:hanging="360"/>
      </w:pPr>
      <w:r>
        <w:t>3.   Henry, age 47, took a total distribution from his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he had established ten years ago. Since starting the IRA he has made contributions of $40,000 and has never taken a distribution. What is Henry’s income tax liability, if any, assuming the account value is $75,000 at the time of distribution, Henry is not disabled or a first-time homebuyer and is in a 25% income tax bracket?</w:t>
      </w:r>
    </w:p>
    <w:p w14:paraId="6CD90BC3" w14:textId="77777777" w:rsidR="0079772F" w:rsidRDefault="0079772F" w:rsidP="007A5E54">
      <w:pPr>
        <w:numPr>
          <w:ilvl w:val="0"/>
          <w:numId w:val="76"/>
        </w:numPr>
        <w:spacing w:before="120"/>
      </w:pPr>
      <w:r>
        <w:t>$0</w:t>
      </w:r>
    </w:p>
    <w:p w14:paraId="5DA52A7B" w14:textId="77777777" w:rsidR="0079772F" w:rsidRDefault="0079772F" w:rsidP="007A5E54">
      <w:pPr>
        <w:numPr>
          <w:ilvl w:val="0"/>
          <w:numId w:val="76"/>
        </w:numPr>
        <w:spacing w:before="120"/>
      </w:pPr>
      <w:r>
        <w:t>$3,500</w:t>
      </w:r>
    </w:p>
    <w:p w14:paraId="245B873A" w14:textId="77777777" w:rsidR="0079772F" w:rsidRDefault="0079772F" w:rsidP="007A5E54">
      <w:pPr>
        <w:numPr>
          <w:ilvl w:val="0"/>
          <w:numId w:val="76"/>
        </w:numPr>
        <w:spacing w:before="120"/>
      </w:pPr>
      <w:r>
        <w:lastRenderedPageBreak/>
        <w:t>$8,750</w:t>
      </w:r>
    </w:p>
    <w:p w14:paraId="665F8E0A" w14:textId="77777777" w:rsidR="0079772F" w:rsidRDefault="0079772F" w:rsidP="007A5E54">
      <w:pPr>
        <w:numPr>
          <w:ilvl w:val="0"/>
          <w:numId w:val="76"/>
        </w:numPr>
        <w:spacing w:before="120"/>
      </w:pPr>
      <w:r>
        <w:t>$12,250</w:t>
      </w:r>
    </w:p>
    <w:p w14:paraId="7AD90AE4" w14:textId="77777777" w:rsidR="00512570" w:rsidRDefault="00E9618E" w:rsidP="00825E0B">
      <w:pPr>
        <w:rPr>
          <w:szCs w:val="22"/>
        </w:rPr>
        <w:sectPr w:rsidR="00512570" w:rsidSect="00297ACB">
          <w:headerReference w:type="default" r:id="rId13"/>
          <w:footerReference w:type="first" r:id="rId14"/>
          <w:pgSz w:w="12240" w:h="15840"/>
          <w:pgMar w:top="2160" w:right="1440" w:bottom="1440" w:left="1800" w:header="720" w:footer="720" w:gutter="0"/>
          <w:cols w:space="720"/>
          <w:titlePg/>
          <w:docGrid w:linePitch="299"/>
        </w:sectPr>
      </w:pPr>
      <w:r>
        <w:rPr>
          <w:szCs w:val="22"/>
        </w:rPr>
        <w:br w:type="page"/>
      </w:r>
    </w:p>
    <w:p w14:paraId="7383D74B" w14:textId="77777777" w:rsidR="00512570" w:rsidRDefault="005A4CD2" w:rsidP="008875DB">
      <w:pPr>
        <w:pStyle w:val="Heading1"/>
      </w:pPr>
      <w:bookmarkStart w:id="106" w:name="_Toc48025264"/>
      <w:bookmarkStart w:id="107" w:name="_Toc404357191"/>
      <w:r>
        <w:lastRenderedPageBreak/>
        <w:t>Chapter</w:t>
      </w:r>
      <w:r w:rsidR="00512570">
        <w:t xml:space="preserve"> </w:t>
      </w:r>
      <w:r w:rsidR="0077192A">
        <w:t>3</w:t>
      </w:r>
      <w:r w:rsidR="008875DB">
        <w:br/>
      </w:r>
      <w:r w:rsidR="00512570">
        <w:t>Individual Retirement Account Funding</w:t>
      </w:r>
      <w:bookmarkEnd w:id="106"/>
      <w:bookmarkEnd w:id="107"/>
    </w:p>
    <w:p w14:paraId="23E74BDD" w14:textId="77777777" w:rsidR="00512570" w:rsidRDefault="00512570" w:rsidP="00B35EDA">
      <w:pPr>
        <w:rPr>
          <w:b/>
          <w:szCs w:val="26"/>
        </w:rPr>
      </w:pPr>
    </w:p>
    <w:p w14:paraId="7B561B3F" w14:textId="77777777" w:rsidR="00512570" w:rsidRPr="00352D2D" w:rsidRDefault="00512570" w:rsidP="008875DB">
      <w:pPr>
        <w:pStyle w:val="Heading2"/>
      </w:pPr>
      <w:bookmarkStart w:id="108" w:name="_Toc48025265"/>
      <w:bookmarkStart w:id="109" w:name="_Toc404357192"/>
      <w:r w:rsidRPr="00352D2D">
        <w:t>Important Lesson Points</w:t>
      </w:r>
      <w:bookmarkEnd w:id="108"/>
      <w:bookmarkEnd w:id="109"/>
    </w:p>
    <w:p w14:paraId="31604868" w14:textId="77777777" w:rsidR="00280E8E" w:rsidRPr="008875DB" w:rsidRDefault="00280E8E" w:rsidP="008875DB">
      <w:pPr>
        <w:rPr>
          <w:szCs w:val="22"/>
        </w:rPr>
      </w:pPr>
      <w:r w:rsidRPr="008875DB">
        <w:rPr>
          <w:szCs w:val="22"/>
        </w:rPr>
        <w:t>The important points addressed in this lesson are:</w:t>
      </w:r>
    </w:p>
    <w:p w14:paraId="55C695D2" w14:textId="77777777" w:rsidR="007615CE" w:rsidRPr="00E54C4E" w:rsidRDefault="007615CE" w:rsidP="007A5E54">
      <w:pPr>
        <w:pStyle w:val="ListParagraph"/>
        <w:numPr>
          <w:ilvl w:val="0"/>
          <w:numId w:val="138"/>
        </w:numPr>
        <w:ind w:left="720"/>
      </w:pPr>
      <w:r w:rsidRPr="00E54C4E">
        <w:t>IRAs may be funded by commercial annuities</w:t>
      </w:r>
      <w:r w:rsidR="00A95039">
        <w:fldChar w:fldCharType="begin"/>
      </w:r>
      <w:r w:rsidR="00293611">
        <w:instrText xml:space="preserve"> XE "</w:instrText>
      </w:r>
      <w:r w:rsidR="00293611" w:rsidRPr="00B81D4B">
        <w:rPr>
          <w:szCs w:val="22"/>
        </w:rPr>
        <w:instrText>annuities</w:instrText>
      </w:r>
      <w:r w:rsidR="00293611">
        <w:instrText xml:space="preserve">" </w:instrText>
      </w:r>
      <w:r w:rsidR="00A95039">
        <w:fldChar w:fldCharType="end"/>
      </w:r>
      <w:r w:rsidRPr="00E54C4E">
        <w:t xml:space="preserve"> or may employ a custodial account</w:t>
      </w:r>
    </w:p>
    <w:p w14:paraId="3E6E838A" w14:textId="77777777" w:rsidR="007615CE" w:rsidRPr="00E54C4E" w:rsidRDefault="007615CE" w:rsidP="007A5E54">
      <w:pPr>
        <w:pStyle w:val="ListParagraph"/>
        <w:numPr>
          <w:ilvl w:val="0"/>
          <w:numId w:val="138"/>
        </w:numPr>
        <w:ind w:left="720"/>
      </w:pPr>
      <w:r w:rsidRPr="00E54C4E">
        <w:t>IRA funds contributed to a custodial account may be invested in a wide range of financial vehicles, including mutual funds, CDs, stocks, bonds and certain gold and silver coins</w:t>
      </w:r>
    </w:p>
    <w:p w14:paraId="30B90E57" w14:textId="77777777" w:rsidR="007615CE" w:rsidRPr="00E54C4E" w:rsidRDefault="007615CE" w:rsidP="007A5E54">
      <w:pPr>
        <w:pStyle w:val="ListParagraph"/>
        <w:numPr>
          <w:ilvl w:val="0"/>
          <w:numId w:val="138"/>
        </w:numPr>
        <w:ind w:left="720"/>
      </w:pPr>
      <w:r w:rsidRPr="00E54C4E">
        <w:t>IRA funds may not be invested in life insurance contracts or certain collectibles, such as antiques or art</w:t>
      </w:r>
    </w:p>
    <w:p w14:paraId="4667E4D7" w14:textId="77777777" w:rsidR="00280E8E" w:rsidRDefault="007615CE" w:rsidP="007A5E54">
      <w:pPr>
        <w:pStyle w:val="ListParagraph"/>
        <w:numPr>
          <w:ilvl w:val="0"/>
          <w:numId w:val="138"/>
        </w:numPr>
        <w:ind w:left="720"/>
      </w:pPr>
      <w:r w:rsidRPr="00E54C4E">
        <w:t>Annuity funding of IRAs should be considered only when the non-tax benefits of the annuity are desired</w:t>
      </w:r>
    </w:p>
    <w:p w14:paraId="1AC2DFA7" w14:textId="77777777" w:rsidR="00EA56D6" w:rsidRDefault="00EA56D6" w:rsidP="00EA56D6">
      <w:pPr>
        <w:pStyle w:val="Heading2"/>
        <w:keepLines w:val="0"/>
      </w:pPr>
      <w:bookmarkStart w:id="110" w:name="_Toc404357193"/>
      <w:r>
        <w:t>Chapter Learning Objectives</w:t>
      </w:r>
      <w:bookmarkEnd w:id="110"/>
    </w:p>
    <w:p w14:paraId="410AD173" w14:textId="77777777" w:rsidR="00EA56D6" w:rsidRDefault="00EA56D6" w:rsidP="00EA56D6">
      <w:r>
        <w:t xml:space="preserve">In this chapter we will look at the rules governing </w:t>
      </w:r>
      <w:r w:rsidR="001744EF">
        <w:t>the financial products in which</w:t>
      </w:r>
      <w:r>
        <w:t xml:space="preserve"> IRA</w:t>
      </w:r>
      <w:r w:rsidR="001744EF">
        <w:t xml:space="preserve"> assets may be invested</w:t>
      </w:r>
      <w:r>
        <w:t xml:space="preserve">. When </w:t>
      </w:r>
      <w:r w:rsidRPr="00702457">
        <w:t xml:space="preserve">you have completed this </w:t>
      </w:r>
      <w:r>
        <w:t>chapter</w:t>
      </w:r>
      <w:r w:rsidRPr="00702457">
        <w:t xml:space="preserve"> you should be able to</w:t>
      </w:r>
      <w:r>
        <w:t>:</w:t>
      </w:r>
    </w:p>
    <w:p w14:paraId="57120311" w14:textId="77777777" w:rsidR="00EA56D6" w:rsidRDefault="00EA56D6" w:rsidP="007A5E54">
      <w:pPr>
        <w:pStyle w:val="ListParagraph"/>
        <w:numPr>
          <w:ilvl w:val="0"/>
          <w:numId w:val="139"/>
        </w:numPr>
        <w:ind w:left="720"/>
      </w:pPr>
      <w:r>
        <w:t>Discuss the</w:t>
      </w:r>
      <w:r w:rsidR="005743F7">
        <w:t xml:space="preserve"> financial vehicles in which IRA assets may be invested;</w:t>
      </w:r>
    </w:p>
    <w:p w14:paraId="690C784B" w14:textId="77777777" w:rsidR="005743F7" w:rsidRDefault="005743F7" w:rsidP="007A5E54">
      <w:pPr>
        <w:pStyle w:val="ListParagraph"/>
        <w:numPr>
          <w:ilvl w:val="0"/>
          <w:numId w:val="139"/>
        </w:numPr>
        <w:ind w:left="720"/>
      </w:pPr>
      <w:r>
        <w:t>Identify the investments in which IRA assets may not be allocated;</w:t>
      </w:r>
    </w:p>
    <w:p w14:paraId="1E6FBC46" w14:textId="77777777" w:rsidR="005743F7" w:rsidRDefault="005743F7" w:rsidP="007A5E54">
      <w:pPr>
        <w:pStyle w:val="ListParagraph"/>
        <w:numPr>
          <w:ilvl w:val="0"/>
          <w:numId w:val="139"/>
        </w:numPr>
        <w:ind w:left="720"/>
      </w:pPr>
      <w:r>
        <w:t>Describe the additional benefits provided by investing IRA assets in an annuity; and</w:t>
      </w:r>
    </w:p>
    <w:p w14:paraId="3F9699E7" w14:textId="77777777" w:rsidR="005743F7" w:rsidRPr="00E54C4E" w:rsidRDefault="005743F7" w:rsidP="007A5E54">
      <w:pPr>
        <w:pStyle w:val="ListParagraph"/>
        <w:numPr>
          <w:ilvl w:val="0"/>
          <w:numId w:val="139"/>
        </w:numPr>
        <w:ind w:left="720"/>
      </w:pPr>
      <w:r>
        <w:t>List the factors that should be considered in determining the suitability of a variable annuity as a client’s IRA investment</w:t>
      </w:r>
      <w:r w:rsidR="00A871CF">
        <w:t>.</w:t>
      </w:r>
      <w:r>
        <w:t xml:space="preserve">  </w:t>
      </w:r>
    </w:p>
    <w:p w14:paraId="0F9B0FE8" w14:textId="77777777" w:rsidR="005C1524" w:rsidRPr="00512570" w:rsidRDefault="00A1607D" w:rsidP="008E4860">
      <w:pPr>
        <w:pStyle w:val="Heading2"/>
      </w:pPr>
      <w:bookmarkStart w:id="111" w:name="_Toc48025266"/>
      <w:bookmarkStart w:id="112" w:name="_Toc404357194"/>
      <w:r w:rsidRPr="00512570">
        <w:t>IRA Investment Options</w:t>
      </w:r>
      <w:bookmarkEnd w:id="111"/>
      <w:bookmarkEnd w:id="112"/>
    </w:p>
    <w:p w14:paraId="4ABDFAB7" w14:textId="77777777" w:rsidR="00825691" w:rsidRPr="000B485C" w:rsidRDefault="00825691" w:rsidP="00825E0B">
      <w:pPr>
        <w:rPr>
          <w:szCs w:val="22"/>
        </w:rPr>
      </w:pPr>
      <w:r w:rsidRPr="000B485C">
        <w:rPr>
          <w:szCs w:val="22"/>
        </w:rPr>
        <w:t>Before November, 1978, an individual wishing to fund an IRA could use various vehicles, such as a mutual fund, a savings account, stocks, bonds, an annuity, a retirement bond or an endowment contract.</w:t>
      </w:r>
      <w:r w:rsidR="00297ACB">
        <w:rPr>
          <w:szCs w:val="22"/>
        </w:rPr>
        <w:t xml:space="preserve"> </w:t>
      </w:r>
      <w:r w:rsidRPr="000B485C">
        <w:rPr>
          <w:szCs w:val="22"/>
        </w:rPr>
        <w:t>Effective November 6, 1978, IRA regulations prohibited the use of life insu</w:t>
      </w:r>
      <w:r>
        <w:rPr>
          <w:szCs w:val="22"/>
        </w:rPr>
        <w:t>rance</w:t>
      </w:r>
      <w:r w:rsidR="00A95039">
        <w:rPr>
          <w:szCs w:val="22"/>
        </w:rPr>
        <w:fldChar w:fldCharType="begin"/>
      </w:r>
      <w:r w:rsidR="00293611">
        <w:instrText xml:space="preserve"> XE "</w:instrText>
      </w:r>
      <w:r w:rsidR="00293611" w:rsidRPr="00CD56BD">
        <w:rPr>
          <w:szCs w:val="22"/>
        </w:rPr>
        <w:instrText>use of life insurance prohibited in IRAs</w:instrText>
      </w:r>
      <w:r w:rsidR="00293611">
        <w:instrText xml:space="preserve">" </w:instrText>
      </w:r>
      <w:r w:rsidR="00A95039">
        <w:rPr>
          <w:szCs w:val="22"/>
        </w:rPr>
        <w:fldChar w:fldCharType="end"/>
      </w:r>
      <w:r>
        <w:rPr>
          <w:szCs w:val="22"/>
        </w:rPr>
        <w:t xml:space="preserve"> in any form in IRAs.</w:t>
      </w:r>
      <w:r w:rsidR="00297ACB">
        <w:rPr>
          <w:szCs w:val="22"/>
        </w:rPr>
        <w:t xml:space="preserve"> </w:t>
      </w:r>
      <w:r>
        <w:rPr>
          <w:szCs w:val="22"/>
        </w:rPr>
        <w:t>In addition</w:t>
      </w:r>
      <w:r w:rsidRPr="000B485C">
        <w:rPr>
          <w:szCs w:val="22"/>
        </w:rPr>
        <w:t xml:space="preserve">, </w:t>
      </w:r>
      <w:r>
        <w:rPr>
          <w:szCs w:val="22"/>
        </w:rPr>
        <w:t>the sale</w:t>
      </w:r>
      <w:r w:rsidRPr="000B485C">
        <w:rPr>
          <w:szCs w:val="22"/>
        </w:rPr>
        <w:t xml:space="preserve"> of retirement bonds w</w:t>
      </w:r>
      <w:r>
        <w:rPr>
          <w:szCs w:val="22"/>
        </w:rPr>
        <w:t>as</w:t>
      </w:r>
      <w:r w:rsidR="005743F7">
        <w:rPr>
          <w:szCs w:val="22"/>
        </w:rPr>
        <w:t xml:space="preserve"> suspended as of April</w:t>
      </w:r>
      <w:r w:rsidRPr="000B485C">
        <w:rPr>
          <w:szCs w:val="22"/>
        </w:rPr>
        <w:t xml:space="preserve"> 1982.</w:t>
      </w:r>
    </w:p>
    <w:p w14:paraId="75482A99" w14:textId="77777777" w:rsidR="00825691" w:rsidRPr="000B485C" w:rsidRDefault="00825691" w:rsidP="00825E0B">
      <w:pPr>
        <w:rPr>
          <w:i/>
          <w:szCs w:val="22"/>
        </w:rPr>
      </w:pPr>
      <w:r w:rsidRPr="000B485C">
        <w:rPr>
          <w:szCs w:val="22"/>
        </w:rPr>
        <w:t>However, there remain two basic funding approaches for</w:t>
      </w:r>
      <w:r>
        <w:rPr>
          <w:szCs w:val="22"/>
        </w:rPr>
        <w:t xml:space="preserve"> individual retirement accounts:</w:t>
      </w:r>
    </w:p>
    <w:p w14:paraId="6C9733E7" w14:textId="77777777" w:rsidR="00825691" w:rsidRPr="00E54C4E" w:rsidRDefault="00825691" w:rsidP="007A5E54">
      <w:pPr>
        <w:pStyle w:val="ListParagraph"/>
        <w:numPr>
          <w:ilvl w:val="0"/>
          <w:numId w:val="140"/>
        </w:numPr>
        <w:ind w:left="720"/>
      </w:pPr>
      <w:r w:rsidRPr="00E54C4E">
        <w:t>Trust or custodial account</w:t>
      </w:r>
      <w:r w:rsidR="00B81D4B">
        <w:t>; and</w:t>
      </w:r>
    </w:p>
    <w:p w14:paraId="7FAF1CBA" w14:textId="77777777" w:rsidR="00825691" w:rsidRPr="00E54C4E" w:rsidRDefault="00825691" w:rsidP="007A5E54">
      <w:pPr>
        <w:pStyle w:val="ListParagraph"/>
        <w:numPr>
          <w:ilvl w:val="0"/>
          <w:numId w:val="140"/>
        </w:numPr>
        <w:ind w:left="720"/>
      </w:pPr>
      <w:r w:rsidRPr="00E54C4E">
        <w:t>Annuity</w:t>
      </w:r>
      <w:r w:rsidR="00B81D4B">
        <w:t>.</w:t>
      </w:r>
    </w:p>
    <w:p w14:paraId="7BEDF67D" w14:textId="77777777" w:rsidR="005743F7" w:rsidRDefault="00414FD5" w:rsidP="00825E0B">
      <w:pPr>
        <w:rPr>
          <w:szCs w:val="22"/>
        </w:rPr>
      </w:pPr>
      <w:r>
        <w:rPr>
          <w:szCs w:val="22"/>
        </w:rPr>
        <w:t>An</w:t>
      </w:r>
      <w:r w:rsidR="00825691" w:rsidRPr="000B485C">
        <w:rPr>
          <w:szCs w:val="22"/>
        </w:rPr>
        <w:t xml:space="preserve"> IRA </w:t>
      </w:r>
      <w:r w:rsidR="00825691">
        <w:rPr>
          <w:szCs w:val="22"/>
        </w:rPr>
        <w:t>own</w:t>
      </w:r>
      <w:r w:rsidR="00825691" w:rsidRPr="000B485C">
        <w:rPr>
          <w:szCs w:val="22"/>
        </w:rPr>
        <w:t>er can opt for funding his or her account with an annuity or may use a trust or custodial account</w:t>
      </w:r>
      <w:r w:rsidR="00A95039">
        <w:rPr>
          <w:szCs w:val="22"/>
        </w:rPr>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rPr>
          <w:szCs w:val="22"/>
        </w:rPr>
        <w:fldChar w:fldCharType="end"/>
      </w:r>
      <w:r w:rsidR="00825691" w:rsidRPr="000B485C">
        <w:rPr>
          <w:szCs w:val="22"/>
        </w:rPr>
        <w:t xml:space="preserve"> through which other products can be purchased.</w:t>
      </w:r>
      <w:r w:rsidR="00297ACB">
        <w:rPr>
          <w:szCs w:val="22"/>
        </w:rPr>
        <w:t xml:space="preserve"> </w:t>
      </w:r>
    </w:p>
    <w:p w14:paraId="73162167" w14:textId="77777777" w:rsidR="005743F7" w:rsidRDefault="005743F7" w:rsidP="005743F7">
      <w:pPr>
        <w:pStyle w:val="Heading3"/>
      </w:pPr>
      <w:bookmarkStart w:id="113" w:name="_Toc404357195"/>
      <w:r>
        <w:lastRenderedPageBreak/>
        <w:t>Trust or Custodial Account IRA Funding</w:t>
      </w:r>
      <w:bookmarkEnd w:id="113"/>
    </w:p>
    <w:p w14:paraId="330C6055" w14:textId="77777777" w:rsidR="00825691" w:rsidRPr="000B485C" w:rsidRDefault="00825691" w:rsidP="00825E0B">
      <w:pPr>
        <w:rPr>
          <w:szCs w:val="22"/>
        </w:rPr>
      </w:pPr>
      <w:r w:rsidRPr="000B485C">
        <w:rPr>
          <w:szCs w:val="22"/>
        </w:rPr>
        <w:t>The trust or custodial account</w:t>
      </w:r>
      <w:r w:rsidR="00A95039">
        <w:rPr>
          <w:szCs w:val="22"/>
        </w:rPr>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rPr>
          <w:szCs w:val="22"/>
        </w:rPr>
        <w:fldChar w:fldCharType="end"/>
      </w:r>
      <w:r w:rsidRPr="000B485C">
        <w:rPr>
          <w:szCs w:val="22"/>
        </w:rPr>
        <w:t xml:space="preserve"> must be one that is established to provide benefits for the IRA </w:t>
      </w:r>
      <w:r>
        <w:rPr>
          <w:szCs w:val="22"/>
        </w:rPr>
        <w:t>owner</w:t>
      </w:r>
      <w:r w:rsidRPr="000B485C">
        <w:rPr>
          <w:szCs w:val="22"/>
        </w:rPr>
        <w:t xml:space="preserve"> and his or her beneficiaries.</w:t>
      </w:r>
      <w:r w:rsidR="00297ACB">
        <w:rPr>
          <w:szCs w:val="22"/>
        </w:rPr>
        <w:t xml:space="preserve"> </w:t>
      </w:r>
      <w:r>
        <w:rPr>
          <w:szCs w:val="22"/>
        </w:rPr>
        <w:t>T</w:t>
      </w:r>
      <w:r w:rsidRPr="000B485C">
        <w:rPr>
          <w:szCs w:val="22"/>
        </w:rPr>
        <w:t xml:space="preserve">hese </w:t>
      </w:r>
      <w:r>
        <w:rPr>
          <w:szCs w:val="22"/>
        </w:rPr>
        <w:t xml:space="preserve">permitted </w:t>
      </w:r>
      <w:r w:rsidRPr="000B485C">
        <w:rPr>
          <w:szCs w:val="22"/>
        </w:rPr>
        <w:t>funding approaches apply to both traditional and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Pr="000B485C">
        <w:rPr>
          <w:szCs w:val="22"/>
        </w:rPr>
        <w:t>.</w:t>
      </w:r>
    </w:p>
    <w:p w14:paraId="7CD876B7" w14:textId="77777777" w:rsidR="00825691" w:rsidRPr="000B485C" w:rsidRDefault="00825691" w:rsidP="00825E0B">
      <w:pPr>
        <w:rPr>
          <w:i/>
          <w:szCs w:val="22"/>
        </w:rPr>
      </w:pPr>
      <w:r>
        <w:rPr>
          <w:szCs w:val="22"/>
        </w:rPr>
        <w:t>S</w:t>
      </w:r>
      <w:r w:rsidRPr="000B485C">
        <w:rPr>
          <w:szCs w:val="22"/>
        </w:rPr>
        <w:t>ome of the non-annuity products that are normally used to fund individual retirement accounts</w:t>
      </w:r>
      <w:r>
        <w:rPr>
          <w:szCs w:val="22"/>
        </w:rPr>
        <w:t xml:space="preserve"> </w:t>
      </w:r>
      <w:r w:rsidR="007820CB">
        <w:rPr>
          <w:szCs w:val="22"/>
        </w:rPr>
        <w:t xml:space="preserve">through a custodial account </w:t>
      </w:r>
      <w:r>
        <w:rPr>
          <w:szCs w:val="22"/>
        </w:rPr>
        <w:t>include:</w:t>
      </w:r>
    </w:p>
    <w:p w14:paraId="174F4285" w14:textId="77777777" w:rsidR="00825691" w:rsidRPr="009D7DA1" w:rsidRDefault="00825691" w:rsidP="007A5E54">
      <w:pPr>
        <w:pStyle w:val="ListParagraph"/>
        <w:numPr>
          <w:ilvl w:val="0"/>
          <w:numId w:val="141"/>
        </w:numPr>
        <w:ind w:left="720"/>
      </w:pPr>
      <w:r w:rsidRPr="009D7DA1">
        <w:t>Mutual funds</w:t>
      </w:r>
      <w:r w:rsidR="00B81D4B">
        <w:t>;</w:t>
      </w:r>
    </w:p>
    <w:p w14:paraId="56B79B7E" w14:textId="77777777" w:rsidR="00825691" w:rsidRPr="009D7DA1" w:rsidRDefault="00825691" w:rsidP="007A5E54">
      <w:pPr>
        <w:pStyle w:val="ListParagraph"/>
        <w:numPr>
          <w:ilvl w:val="0"/>
          <w:numId w:val="141"/>
        </w:numPr>
        <w:ind w:left="720"/>
      </w:pPr>
      <w:r w:rsidRPr="009D7DA1">
        <w:t>Certificates of deposit &amp; other traditional savings vehicles</w:t>
      </w:r>
      <w:r w:rsidR="00B81D4B">
        <w:t>;</w:t>
      </w:r>
    </w:p>
    <w:p w14:paraId="5CD50CEF" w14:textId="77777777" w:rsidR="00825691" w:rsidRPr="009D7DA1" w:rsidRDefault="00825691" w:rsidP="007A5E54">
      <w:pPr>
        <w:pStyle w:val="ListParagraph"/>
        <w:numPr>
          <w:ilvl w:val="0"/>
          <w:numId w:val="141"/>
        </w:numPr>
        <w:ind w:left="720"/>
      </w:pPr>
      <w:r w:rsidRPr="009D7DA1">
        <w:t>Stocks</w:t>
      </w:r>
      <w:r w:rsidR="00B81D4B">
        <w:t>;</w:t>
      </w:r>
    </w:p>
    <w:p w14:paraId="745E16B2" w14:textId="77777777" w:rsidR="00825691" w:rsidRPr="009D7DA1" w:rsidRDefault="00825691" w:rsidP="007A5E54">
      <w:pPr>
        <w:pStyle w:val="ListParagraph"/>
        <w:numPr>
          <w:ilvl w:val="0"/>
          <w:numId w:val="141"/>
        </w:numPr>
        <w:ind w:left="720"/>
      </w:pPr>
      <w:r w:rsidRPr="009D7DA1">
        <w:t>Bonds</w:t>
      </w:r>
      <w:r w:rsidR="00B81D4B">
        <w:t>; and</w:t>
      </w:r>
    </w:p>
    <w:p w14:paraId="58999DC1" w14:textId="77777777" w:rsidR="00825691" w:rsidRPr="009D7DA1" w:rsidRDefault="00825691" w:rsidP="007A5E54">
      <w:pPr>
        <w:pStyle w:val="ListParagraph"/>
        <w:numPr>
          <w:ilvl w:val="0"/>
          <w:numId w:val="141"/>
        </w:numPr>
        <w:ind w:left="720"/>
      </w:pPr>
      <w:r w:rsidRPr="009D7DA1">
        <w:t>Certain gold and silver coins</w:t>
      </w:r>
      <w:r w:rsidR="00B81D4B">
        <w:t>.</w:t>
      </w:r>
    </w:p>
    <w:p w14:paraId="1845CEF4" w14:textId="77777777" w:rsidR="005743F7" w:rsidRDefault="00825691" w:rsidP="00825E0B">
      <w:pPr>
        <w:rPr>
          <w:szCs w:val="22"/>
        </w:rPr>
      </w:pPr>
      <w:r>
        <w:rPr>
          <w:szCs w:val="22"/>
        </w:rPr>
        <w:t>As we can see, there are many funding vehicles available to the IRA owner.</w:t>
      </w:r>
      <w:r w:rsidR="00297ACB">
        <w:rPr>
          <w:szCs w:val="22"/>
        </w:rPr>
        <w:t xml:space="preserve"> </w:t>
      </w:r>
      <w:r>
        <w:rPr>
          <w:szCs w:val="22"/>
        </w:rPr>
        <w:t>In fact, i</w:t>
      </w:r>
      <w:r w:rsidRPr="000B485C">
        <w:rPr>
          <w:szCs w:val="22"/>
        </w:rPr>
        <w:t>t</w:t>
      </w:r>
      <w:r>
        <w:rPr>
          <w:szCs w:val="22"/>
        </w:rPr>
        <w:t xml:space="preserve"> i</w:t>
      </w:r>
      <w:r w:rsidRPr="000B485C">
        <w:rPr>
          <w:szCs w:val="22"/>
        </w:rPr>
        <w:t xml:space="preserve">s easier to </w:t>
      </w:r>
      <w:r>
        <w:rPr>
          <w:szCs w:val="22"/>
        </w:rPr>
        <w:t>identify those investments that are not approved as</w:t>
      </w:r>
      <w:r w:rsidRPr="000B485C">
        <w:rPr>
          <w:szCs w:val="22"/>
        </w:rPr>
        <w:t xml:space="preserve"> </w:t>
      </w:r>
      <w:r>
        <w:rPr>
          <w:szCs w:val="22"/>
        </w:rPr>
        <w:t xml:space="preserve">IRA </w:t>
      </w:r>
      <w:r w:rsidRPr="000B485C">
        <w:rPr>
          <w:szCs w:val="22"/>
        </w:rPr>
        <w:t xml:space="preserve">funding </w:t>
      </w:r>
      <w:r>
        <w:rPr>
          <w:szCs w:val="22"/>
        </w:rPr>
        <w:t>vehicles than to specifically list those that</w:t>
      </w:r>
      <w:r w:rsidRPr="000B485C">
        <w:rPr>
          <w:szCs w:val="22"/>
        </w:rPr>
        <w:t xml:space="preserve"> are.</w:t>
      </w:r>
      <w:r w:rsidR="00297ACB">
        <w:rPr>
          <w:szCs w:val="22"/>
        </w:rPr>
        <w:t xml:space="preserve"> </w:t>
      </w:r>
    </w:p>
    <w:p w14:paraId="49213850" w14:textId="77777777" w:rsidR="005743F7" w:rsidRDefault="005743F7" w:rsidP="005743F7">
      <w:pPr>
        <w:pStyle w:val="Heading4"/>
      </w:pPr>
      <w:bookmarkStart w:id="114" w:name="_Toc404357196"/>
      <w:r>
        <w:t>Prohibited IRA Investments</w:t>
      </w:r>
      <w:bookmarkEnd w:id="114"/>
    </w:p>
    <w:p w14:paraId="1A7A2E74" w14:textId="77777777" w:rsidR="00825691" w:rsidRDefault="00825691" w:rsidP="00825E0B">
      <w:pPr>
        <w:rPr>
          <w:szCs w:val="22"/>
        </w:rPr>
      </w:pPr>
      <w:r w:rsidRPr="000B485C">
        <w:rPr>
          <w:szCs w:val="22"/>
        </w:rPr>
        <w:t xml:space="preserve">The savings and investment products which are specifically prohibited </w:t>
      </w:r>
      <w:r>
        <w:rPr>
          <w:szCs w:val="22"/>
        </w:rPr>
        <w:t>as IRA funding vehicles ar</w:t>
      </w:r>
      <w:r w:rsidRPr="000B485C">
        <w:rPr>
          <w:szCs w:val="22"/>
        </w:rPr>
        <w:t>e</w:t>
      </w:r>
      <w:r>
        <w:rPr>
          <w:szCs w:val="22"/>
        </w:rPr>
        <w:t>:</w:t>
      </w:r>
    </w:p>
    <w:p w14:paraId="5C54E65D" w14:textId="77777777" w:rsidR="00825691" w:rsidRPr="00843A52" w:rsidRDefault="00825691" w:rsidP="007A5E54">
      <w:pPr>
        <w:pStyle w:val="ListParagraph"/>
        <w:numPr>
          <w:ilvl w:val="0"/>
          <w:numId w:val="142"/>
        </w:numPr>
        <w:ind w:left="720"/>
      </w:pPr>
      <w:r w:rsidRPr="00843A52">
        <w:t>Life insurance</w:t>
      </w:r>
      <w:r w:rsidR="00B81D4B">
        <w:t>;</w:t>
      </w:r>
      <w:r w:rsidR="009D7DA1" w:rsidRPr="00843A52">
        <w:t xml:space="preserve"> </w:t>
      </w:r>
      <w:r w:rsidRPr="00843A52">
        <w:t>and</w:t>
      </w:r>
    </w:p>
    <w:p w14:paraId="40166FE7" w14:textId="77777777" w:rsidR="00825691" w:rsidRPr="00843A52" w:rsidRDefault="00825691" w:rsidP="007A5E54">
      <w:pPr>
        <w:pStyle w:val="ListParagraph"/>
        <w:numPr>
          <w:ilvl w:val="0"/>
          <w:numId w:val="142"/>
        </w:numPr>
        <w:ind w:left="720"/>
      </w:pPr>
      <w:r w:rsidRPr="00843A52">
        <w:t>Collectibles</w:t>
      </w:r>
      <w:r w:rsidR="00A95039">
        <w:fldChar w:fldCharType="begin"/>
      </w:r>
      <w:r w:rsidR="00293611">
        <w:instrText xml:space="preserve"> XE "</w:instrText>
      </w:r>
      <w:r w:rsidR="00293611" w:rsidRPr="00CD56BD">
        <w:instrText>Collectibles prohibited in IRAs</w:instrText>
      </w:r>
      <w:r w:rsidR="00293611">
        <w:instrText xml:space="preserve">" </w:instrText>
      </w:r>
      <w:r w:rsidR="00A95039">
        <w:fldChar w:fldCharType="end"/>
      </w:r>
      <w:r w:rsidRPr="00843A52">
        <w:t>, such as antiques, artwork, etc.</w:t>
      </w:r>
    </w:p>
    <w:p w14:paraId="37CFBCE5" w14:textId="77777777" w:rsidR="00825691" w:rsidRDefault="00825691" w:rsidP="00825E0B">
      <w:pPr>
        <w:rPr>
          <w:szCs w:val="22"/>
        </w:rPr>
      </w:pPr>
      <w:r>
        <w:rPr>
          <w:szCs w:val="22"/>
        </w:rPr>
        <w:t>Of course,</w:t>
      </w:r>
      <w:r w:rsidRPr="000B485C">
        <w:rPr>
          <w:szCs w:val="22"/>
        </w:rPr>
        <w:t xml:space="preserve"> the </w:t>
      </w:r>
      <w:r>
        <w:rPr>
          <w:szCs w:val="22"/>
        </w:rPr>
        <w:t xml:space="preserve">other </w:t>
      </w:r>
      <w:r w:rsidRPr="000B485C">
        <w:rPr>
          <w:szCs w:val="22"/>
        </w:rPr>
        <w:t>tax benefits normally associated with certain growth-oriented investments such as stocks and coins are lost when those investments are used to fund an IRA.</w:t>
      </w:r>
      <w:r w:rsidR="00297ACB">
        <w:rPr>
          <w:szCs w:val="22"/>
        </w:rPr>
        <w:t xml:space="preserve"> </w:t>
      </w:r>
      <w:r w:rsidRPr="000B485C">
        <w:rPr>
          <w:szCs w:val="22"/>
        </w:rPr>
        <w:t>Specifically, the growth in value of stocks and coins is normally associated with a gain in its value, rather than with dividends</w:t>
      </w:r>
      <w:r w:rsidR="00A95039">
        <w:rPr>
          <w:szCs w:val="22"/>
        </w:rPr>
        <w:fldChar w:fldCharType="begin"/>
      </w:r>
      <w:r w:rsidR="00293611">
        <w:instrText xml:space="preserve"> XE "</w:instrText>
      </w:r>
      <w:r w:rsidR="00293611" w:rsidRPr="00CD56BD">
        <w:rPr>
          <w:szCs w:val="22"/>
        </w:rPr>
        <w:instrText>dividends</w:instrText>
      </w:r>
      <w:r w:rsidR="00293611">
        <w:instrText xml:space="preserve">" </w:instrText>
      </w:r>
      <w:r w:rsidR="00A95039">
        <w:rPr>
          <w:szCs w:val="22"/>
        </w:rPr>
        <w:fldChar w:fldCharType="end"/>
      </w:r>
      <w:r w:rsidRPr="000B485C">
        <w:rPr>
          <w:szCs w:val="22"/>
        </w:rPr>
        <w:t xml:space="preserve"> or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Pr="000B485C">
        <w:rPr>
          <w:szCs w:val="22"/>
        </w:rPr>
        <w:t>.</w:t>
      </w:r>
      <w:r w:rsidR="00297ACB">
        <w:rPr>
          <w:szCs w:val="22"/>
        </w:rPr>
        <w:t xml:space="preserve"> </w:t>
      </w:r>
      <w:r w:rsidRPr="000B485C">
        <w:rPr>
          <w:szCs w:val="22"/>
        </w:rPr>
        <w:t xml:space="preserve">That gain </w:t>
      </w:r>
      <w:r>
        <w:rPr>
          <w:szCs w:val="22"/>
        </w:rPr>
        <w:t>could</w:t>
      </w:r>
      <w:r w:rsidRPr="000B485C">
        <w:rPr>
          <w:szCs w:val="22"/>
        </w:rPr>
        <w:t xml:space="preserve"> enjoy capital gains</w:t>
      </w:r>
      <w:r w:rsidR="00A95039">
        <w:rPr>
          <w:szCs w:val="22"/>
        </w:rPr>
        <w:fldChar w:fldCharType="begin"/>
      </w:r>
      <w:r w:rsidR="00293611">
        <w:instrText xml:space="preserve"> XE "</w:instrText>
      </w:r>
      <w:r w:rsidR="00293611" w:rsidRPr="00CD56BD">
        <w:rPr>
          <w:szCs w:val="22"/>
        </w:rPr>
        <w:instrText>capital gains</w:instrText>
      </w:r>
      <w:r w:rsidR="00293611">
        <w:instrText xml:space="preserve">" </w:instrText>
      </w:r>
      <w:r w:rsidR="00A95039">
        <w:rPr>
          <w:szCs w:val="22"/>
        </w:rPr>
        <w:fldChar w:fldCharType="end"/>
      </w:r>
      <w:r w:rsidRPr="000B485C">
        <w:rPr>
          <w:szCs w:val="22"/>
        </w:rPr>
        <w:t xml:space="preserve"> tax rates if the investment were not a part of an IRA.</w:t>
      </w:r>
      <w:r w:rsidR="00297ACB">
        <w:rPr>
          <w:szCs w:val="22"/>
        </w:rPr>
        <w:t xml:space="preserve"> </w:t>
      </w:r>
      <w:r w:rsidRPr="000B485C">
        <w:rPr>
          <w:szCs w:val="22"/>
        </w:rPr>
        <w:t xml:space="preserve">If </w:t>
      </w:r>
      <w:r>
        <w:rPr>
          <w:szCs w:val="22"/>
        </w:rPr>
        <w:t>an individual places IRA funds in investments normally eligible for capital gains treatment</w:t>
      </w:r>
      <w:r w:rsidRPr="000B485C">
        <w:rPr>
          <w:szCs w:val="22"/>
        </w:rPr>
        <w:t xml:space="preserve">, any </w:t>
      </w:r>
      <w:r>
        <w:rPr>
          <w:szCs w:val="22"/>
        </w:rPr>
        <w:t>gains</w:t>
      </w:r>
      <w:r w:rsidRPr="000B485C">
        <w:rPr>
          <w:szCs w:val="22"/>
        </w:rPr>
        <w:t xml:space="preserve"> lose their identity as capital gains</w:t>
      </w:r>
      <w:r>
        <w:rPr>
          <w:szCs w:val="22"/>
        </w:rPr>
        <w:t xml:space="preserve"> and</w:t>
      </w:r>
      <w:r w:rsidR="003A1BB1">
        <w:t>—if distributed in other than a qualified Roth distribution—</w:t>
      </w:r>
      <w:r>
        <w:rPr>
          <w:szCs w:val="22"/>
        </w:rPr>
        <w:t xml:space="preserve">are subject to taxation at ordinary </w:t>
      </w:r>
      <w:r w:rsidRPr="000B485C">
        <w:rPr>
          <w:szCs w:val="22"/>
        </w:rPr>
        <w:t>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sidRPr="000B485C">
        <w:rPr>
          <w:szCs w:val="22"/>
        </w:rPr>
        <w:t xml:space="preserve"> tax rates</w:t>
      </w:r>
      <w:r w:rsidR="00CF4AB5">
        <w:rPr>
          <w:szCs w:val="22"/>
        </w:rPr>
        <w:t xml:space="preserve"> when distributed from the IRA</w:t>
      </w:r>
      <w:r w:rsidRPr="000B485C">
        <w:rPr>
          <w:szCs w:val="22"/>
        </w:rPr>
        <w:t>.</w:t>
      </w:r>
    </w:p>
    <w:p w14:paraId="378E7E13" w14:textId="77777777" w:rsidR="005743F7" w:rsidRPr="000B485C" w:rsidRDefault="005743F7" w:rsidP="005743F7">
      <w:pPr>
        <w:pStyle w:val="Heading4"/>
      </w:pPr>
      <w:bookmarkStart w:id="115" w:name="_Toc404357197"/>
      <w:r>
        <w:t>Separately-Paid Custodial Fees a Miscellaneous Itemized Deduction</w:t>
      </w:r>
      <w:bookmarkEnd w:id="115"/>
    </w:p>
    <w:p w14:paraId="7087736B" w14:textId="77777777" w:rsidR="00825691" w:rsidRPr="000B485C" w:rsidRDefault="00825691" w:rsidP="00825E0B">
      <w:pPr>
        <w:rPr>
          <w:szCs w:val="22"/>
        </w:rPr>
      </w:pPr>
      <w:r w:rsidRPr="000B485C">
        <w:rPr>
          <w:szCs w:val="22"/>
        </w:rPr>
        <w:t>When a trust or custodial account</w:t>
      </w:r>
      <w:r w:rsidR="00A95039">
        <w:rPr>
          <w:szCs w:val="22"/>
        </w:rPr>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rPr>
          <w:szCs w:val="22"/>
        </w:rPr>
        <w:fldChar w:fldCharType="end"/>
      </w:r>
      <w:r w:rsidRPr="000B485C">
        <w:rPr>
          <w:szCs w:val="22"/>
        </w:rPr>
        <w:t xml:space="preserve"> is used rather than an annuity, custodial fees</w:t>
      </w:r>
      <w:r w:rsidR="00A95039">
        <w:rPr>
          <w:szCs w:val="22"/>
        </w:rPr>
        <w:fldChar w:fldCharType="begin"/>
      </w:r>
      <w:r w:rsidR="00293611">
        <w:instrText xml:space="preserve"> XE "</w:instrText>
      </w:r>
      <w:r w:rsidR="00293611" w:rsidRPr="00CD56BD">
        <w:rPr>
          <w:szCs w:val="22"/>
        </w:rPr>
        <w:instrText>custodial fees</w:instrText>
      </w:r>
      <w:r w:rsidR="00293611">
        <w:instrText xml:space="preserve">" </w:instrText>
      </w:r>
      <w:r w:rsidR="00A95039">
        <w:rPr>
          <w:szCs w:val="22"/>
        </w:rPr>
        <w:fldChar w:fldCharType="end"/>
      </w:r>
      <w:r w:rsidRPr="000B485C">
        <w:rPr>
          <w:szCs w:val="22"/>
        </w:rPr>
        <w:t xml:space="preserve"> </w:t>
      </w:r>
      <w:r>
        <w:rPr>
          <w:szCs w:val="22"/>
        </w:rPr>
        <w:t>normally</w:t>
      </w:r>
      <w:r w:rsidRPr="000B485C">
        <w:rPr>
          <w:szCs w:val="22"/>
        </w:rPr>
        <w:t xml:space="preserve"> must be paid each year or deducted from the account value.</w:t>
      </w:r>
      <w:r w:rsidR="00297ACB">
        <w:rPr>
          <w:szCs w:val="22"/>
        </w:rPr>
        <w:t xml:space="preserve"> </w:t>
      </w:r>
      <w:r w:rsidRPr="000B485C">
        <w:rPr>
          <w:szCs w:val="22"/>
        </w:rPr>
        <w:t>If th</w:t>
      </w:r>
      <w:r>
        <w:rPr>
          <w:szCs w:val="22"/>
        </w:rPr>
        <w:t>e</w:t>
      </w:r>
      <w:r w:rsidRPr="000B485C">
        <w:rPr>
          <w:szCs w:val="22"/>
        </w:rPr>
        <w:t xml:space="preserve">se fees are separately billed by the trust and paid by the IRA </w:t>
      </w:r>
      <w:r>
        <w:rPr>
          <w:szCs w:val="22"/>
        </w:rPr>
        <w:t>owner</w:t>
      </w:r>
      <w:r w:rsidRPr="000B485C">
        <w:rPr>
          <w:szCs w:val="22"/>
        </w:rPr>
        <w:t>, they may be claimed as an itemized miscellaneous deduction on the individual’s tax return.</w:t>
      </w:r>
      <w:r w:rsidR="00297ACB">
        <w:rPr>
          <w:szCs w:val="22"/>
        </w:rPr>
        <w:t xml:space="preserve"> </w:t>
      </w:r>
      <w:r w:rsidRPr="000B485C">
        <w:rPr>
          <w:szCs w:val="22"/>
        </w:rPr>
        <w:t>Furthermore, they will not be considered an excess contribution or reduce the amount which may be contributed to the IRA.</w:t>
      </w:r>
      <w:r w:rsidR="00297ACB">
        <w:rPr>
          <w:szCs w:val="22"/>
        </w:rPr>
        <w:t xml:space="preserve"> </w:t>
      </w:r>
      <w:r w:rsidRPr="000B485C">
        <w:rPr>
          <w:szCs w:val="22"/>
        </w:rPr>
        <w:t xml:space="preserve">In other words, an IRA </w:t>
      </w:r>
      <w:r>
        <w:rPr>
          <w:szCs w:val="22"/>
        </w:rPr>
        <w:t>owner may make his or her maximum</w:t>
      </w:r>
      <w:r w:rsidRPr="000B485C">
        <w:rPr>
          <w:szCs w:val="22"/>
        </w:rPr>
        <w:t xml:space="preserve"> </w:t>
      </w:r>
      <w:r>
        <w:rPr>
          <w:szCs w:val="22"/>
        </w:rPr>
        <w:t>IRA</w:t>
      </w:r>
      <w:r w:rsidRPr="000B485C">
        <w:rPr>
          <w:szCs w:val="22"/>
        </w:rPr>
        <w:t xml:space="preserve"> contribution</w:t>
      </w:r>
      <w:r>
        <w:rPr>
          <w:szCs w:val="22"/>
        </w:rPr>
        <w:t xml:space="preserve"> </w:t>
      </w:r>
      <w:r w:rsidRPr="000B485C">
        <w:rPr>
          <w:szCs w:val="22"/>
        </w:rPr>
        <w:t xml:space="preserve">and pay a custodial fee that might be $50 and deduct the entire </w:t>
      </w:r>
      <w:r>
        <w:rPr>
          <w:szCs w:val="22"/>
        </w:rPr>
        <w:t>amount.</w:t>
      </w:r>
    </w:p>
    <w:p w14:paraId="1763CBE1" w14:textId="77777777" w:rsidR="006B78FE" w:rsidRDefault="006B78FE" w:rsidP="006B78FE">
      <w:pPr>
        <w:pStyle w:val="Heading3"/>
        <w:rPr>
          <w:szCs w:val="22"/>
        </w:rPr>
      </w:pPr>
      <w:bookmarkStart w:id="116" w:name="_Toc250473332"/>
      <w:bookmarkStart w:id="117" w:name="_Toc404357198"/>
      <w:r>
        <w:t>Using Annuities to Fund IRAs</w:t>
      </w:r>
      <w:bookmarkEnd w:id="116"/>
      <w:bookmarkEnd w:id="117"/>
    </w:p>
    <w:p w14:paraId="6A9141E4" w14:textId="77777777" w:rsidR="00825691" w:rsidRPr="000B485C" w:rsidRDefault="00825691" w:rsidP="00825E0B">
      <w:pPr>
        <w:rPr>
          <w:szCs w:val="22"/>
        </w:rPr>
      </w:pPr>
      <w:r w:rsidRPr="000B485C">
        <w:rPr>
          <w:szCs w:val="22"/>
        </w:rPr>
        <w:t>Let’s turn our attent</w:t>
      </w:r>
      <w:r>
        <w:rPr>
          <w:szCs w:val="22"/>
        </w:rPr>
        <w:t xml:space="preserve">ion now to funding </w:t>
      </w:r>
      <w:r w:rsidRPr="000B485C">
        <w:rPr>
          <w:szCs w:val="22"/>
        </w:rPr>
        <w:t>IRAs with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sidRPr="000B485C">
        <w:rPr>
          <w:szCs w:val="22"/>
        </w:rPr>
        <w:t>.</w:t>
      </w:r>
      <w:r w:rsidR="00297ACB">
        <w:rPr>
          <w:szCs w:val="22"/>
        </w:rPr>
        <w:t xml:space="preserve"> </w:t>
      </w:r>
      <w:r>
        <w:rPr>
          <w:szCs w:val="22"/>
        </w:rPr>
        <w:t>F</w:t>
      </w:r>
      <w:r w:rsidRPr="000B485C">
        <w:rPr>
          <w:szCs w:val="22"/>
        </w:rPr>
        <w:t>o</w:t>
      </w:r>
      <w:r>
        <w:rPr>
          <w:szCs w:val="22"/>
        </w:rPr>
        <w:t>r</w:t>
      </w:r>
      <w:r w:rsidRPr="000B485C">
        <w:rPr>
          <w:szCs w:val="22"/>
        </w:rPr>
        <w:t xml:space="preserve"> some people, </w:t>
      </w:r>
      <w:r>
        <w:rPr>
          <w:szCs w:val="22"/>
        </w:rPr>
        <w:t xml:space="preserve">the idea of </w:t>
      </w:r>
      <w:r w:rsidRPr="000B485C">
        <w:rPr>
          <w:szCs w:val="22"/>
        </w:rPr>
        <w:t>putting tax-deferred funds into an already tax-deferred vehicle</w:t>
      </w:r>
      <w:r w:rsidR="00CF4AB5">
        <w:rPr>
          <w:szCs w:val="22"/>
        </w:rPr>
        <w:t xml:space="preserve"> such as an annuity</w:t>
      </w:r>
      <w:r w:rsidRPr="000B485C">
        <w:rPr>
          <w:szCs w:val="22"/>
        </w:rPr>
        <w:t xml:space="preserve"> seems like taking </w:t>
      </w:r>
      <w:r>
        <w:rPr>
          <w:szCs w:val="22"/>
        </w:rPr>
        <w:t xml:space="preserve">coals to Newcastle; </w:t>
      </w:r>
      <w:r w:rsidR="006B78FE">
        <w:rPr>
          <w:szCs w:val="22"/>
        </w:rPr>
        <w:t xml:space="preserve">in other words, </w:t>
      </w:r>
      <w:r>
        <w:rPr>
          <w:szCs w:val="22"/>
        </w:rPr>
        <w:t>it isn’t necessary.</w:t>
      </w:r>
      <w:r w:rsidR="00297ACB">
        <w:rPr>
          <w:szCs w:val="22"/>
        </w:rPr>
        <w:t xml:space="preserve"> </w:t>
      </w:r>
      <w:r>
        <w:rPr>
          <w:szCs w:val="22"/>
        </w:rPr>
        <w:t>However, before considering</w:t>
      </w:r>
      <w:r w:rsidRPr="000B485C">
        <w:rPr>
          <w:szCs w:val="22"/>
        </w:rPr>
        <w:t xml:space="preserve"> the </w:t>
      </w:r>
      <w:r w:rsidRPr="00CA4146">
        <w:rPr>
          <w:i/>
          <w:szCs w:val="22"/>
        </w:rPr>
        <w:t>benefits</w:t>
      </w:r>
      <w:r w:rsidRPr="000B485C">
        <w:rPr>
          <w:szCs w:val="22"/>
        </w:rPr>
        <w:t xml:space="preserve"> of using annuities to fund an IRA</w:t>
      </w:r>
      <w:r>
        <w:rPr>
          <w:szCs w:val="22"/>
        </w:rPr>
        <w:t>,</w:t>
      </w:r>
      <w:r w:rsidRPr="000B485C">
        <w:rPr>
          <w:szCs w:val="22"/>
        </w:rPr>
        <w:t xml:space="preserve"> let’s examine the </w:t>
      </w:r>
      <w:r w:rsidRPr="00CA4146">
        <w:rPr>
          <w:i/>
          <w:szCs w:val="22"/>
        </w:rPr>
        <w:t>rules</w:t>
      </w:r>
      <w:r w:rsidRPr="000B485C">
        <w:rPr>
          <w:szCs w:val="22"/>
        </w:rPr>
        <w:t xml:space="preserve"> regarding annuit</w:t>
      </w:r>
      <w:r>
        <w:rPr>
          <w:szCs w:val="22"/>
        </w:rPr>
        <w:t>ies in</w:t>
      </w:r>
      <w:r w:rsidRPr="000B485C">
        <w:rPr>
          <w:szCs w:val="22"/>
        </w:rPr>
        <w:t xml:space="preserve"> IRA</w:t>
      </w:r>
      <w:r>
        <w:rPr>
          <w:szCs w:val="22"/>
        </w:rPr>
        <w:t>s</w:t>
      </w:r>
      <w:r w:rsidRPr="000B485C">
        <w:rPr>
          <w:szCs w:val="22"/>
        </w:rPr>
        <w:t>.</w:t>
      </w:r>
    </w:p>
    <w:p w14:paraId="6199A8C9" w14:textId="77777777" w:rsidR="00825691" w:rsidRPr="000B485C" w:rsidRDefault="00825691" w:rsidP="00825E0B">
      <w:pPr>
        <w:rPr>
          <w:szCs w:val="22"/>
        </w:rPr>
      </w:pPr>
      <w:r>
        <w:rPr>
          <w:szCs w:val="22"/>
        </w:rPr>
        <w:t>An</w:t>
      </w:r>
      <w:r w:rsidRPr="000B485C">
        <w:rPr>
          <w:szCs w:val="22"/>
        </w:rPr>
        <w:t xml:space="preserve"> annuity contract </w:t>
      </w:r>
      <w:r>
        <w:rPr>
          <w:szCs w:val="22"/>
        </w:rPr>
        <w:t xml:space="preserve">used in an IRA </w:t>
      </w:r>
      <w:r w:rsidRPr="000B485C">
        <w:rPr>
          <w:szCs w:val="22"/>
        </w:rPr>
        <w:t>must be nontransferable by the owner.</w:t>
      </w:r>
      <w:r w:rsidR="00297ACB">
        <w:rPr>
          <w:szCs w:val="22"/>
        </w:rPr>
        <w:t xml:space="preserve"> </w:t>
      </w:r>
      <w:r>
        <w:rPr>
          <w:szCs w:val="22"/>
        </w:rPr>
        <w:t>T</w:t>
      </w:r>
      <w:r w:rsidRPr="000B485C">
        <w:rPr>
          <w:szCs w:val="22"/>
        </w:rPr>
        <w:t>he practical effect of this r</w:t>
      </w:r>
      <w:r>
        <w:rPr>
          <w:szCs w:val="22"/>
        </w:rPr>
        <w:t>ul</w:t>
      </w:r>
      <w:r w:rsidRPr="000B485C">
        <w:rPr>
          <w:szCs w:val="22"/>
        </w:rPr>
        <w:t>e</w:t>
      </w:r>
      <w:r w:rsidRPr="000B485C">
        <w:rPr>
          <w:i/>
          <w:szCs w:val="22"/>
        </w:rPr>
        <w:t xml:space="preserve"> </w:t>
      </w:r>
      <w:r>
        <w:rPr>
          <w:szCs w:val="22"/>
        </w:rPr>
        <w:t>is that the a</w:t>
      </w:r>
      <w:r w:rsidRPr="000B485C">
        <w:rPr>
          <w:szCs w:val="22"/>
        </w:rPr>
        <w:t>nnuity cannot be used as collateral for a loan</w:t>
      </w:r>
      <w:r>
        <w:rPr>
          <w:szCs w:val="22"/>
        </w:rPr>
        <w:t>.</w:t>
      </w:r>
      <w:r w:rsidR="00297ACB">
        <w:rPr>
          <w:szCs w:val="22"/>
        </w:rPr>
        <w:t xml:space="preserve"> </w:t>
      </w:r>
      <w:r>
        <w:rPr>
          <w:szCs w:val="22"/>
        </w:rPr>
        <w:t xml:space="preserve">That means that an </w:t>
      </w:r>
      <w:r w:rsidRPr="000B485C">
        <w:rPr>
          <w:szCs w:val="22"/>
        </w:rPr>
        <w:t xml:space="preserve">annuity used to fund an IRA cannot be used as security for a loan, either from the insurance company that issued it or from </w:t>
      </w:r>
      <w:r w:rsidRPr="000B485C">
        <w:rPr>
          <w:szCs w:val="22"/>
        </w:rPr>
        <w:lastRenderedPageBreak/>
        <w:t>any other lender.</w:t>
      </w:r>
      <w:r w:rsidR="00297ACB">
        <w:rPr>
          <w:szCs w:val="22"/>
        </w:rPr>
        <w:t xml:space="preserve"> </w:t>
      </w:r>
      <w:r>
        <w:rPr>
          <w:szCs w:val="22"/>
        </w:rPr>
        <w:t>A</w:t>
      </w:r>
      <w:r w:rsidRPr="000B485C">
        <w:rPr>
          <w:szCs w:val="22"/>
        </w:rPr>
        <w:t>n automatic pre</w:t>
      </w:r>
      <w:r>
        <w:rPr>
          <w:szCs w:val="22"/>
        </w:rPr>
        <w:t>mium loan would be prohibited and, if taken, could cause the plan to become disqualified.</w:t>
      </w:r>
      <w:r w:rsidR="00297ACB">
        <w:rPr>
          <w:szCs w:val="22"/>
        </w:rPr>
        <w:t xml:space="preserve"> </w:t>
      </w:r>
      <w:r w:rsidRPr="000B485C">
        <w:rPr>
          <w:szCs w:val="22"/>
        </w:rPr>
        <w:t xml:space="preserve">The plan would </w:t>
      </w:r>
      <w:r>
        <w:rPr>
          <w:szCs w:val="22"/>
        </w:rPr>
        <w:t xml:space="preserve">simply </w:t>
      </w:r>
      <w:r w:rsidRPr="000B485C">
        <w:rPr>
          <w:szCs w:val="22"/>
        </w:rPr>
        <w:t>cease to be an individual retirement annuity.</w:t>
      </w:r>
      <w:r w:rsidR="00297ACB">
        <w:rPr>
          <w:szCs w:val="22"/>
        </w:rPr>
        <w:t xml:space="preserve"> </w:t>
      </w:r>
      <w:r w:rsidRPr="000B485C">
        <w:rPr>
          <w:szCs w:val="22"/>
        </w:rPr>
        <w:t>When a plan is disqualified, the funds</w:t>
      </w:r>
      <w:r w:rsidR="00D63ADA" w:rsidRPr="00D63ADA">
        <w:t xml:space="preserve"> </w:t>
      </w:r>
      <w:r w:rsidR="00D63ADA">
        <w:t>that would be taxable if distributed at that time</w:t>
      </w:r>
      <w:r w:rsidRPr="000B485C">
        <w:rPr>
          <w:szCs w:val="22"/>
        </w:rPr>
        <w:t xml:space="preserve"> </w:t>
      </w:r>
      <w:r>
        <w:rPr>
          <w:szCs w:val="22"/>
        </w:rPr>
        <w:t xml:space="preserve">are </w:t>
      </w:r>
      <w:r w:rsidRPr="000B485C">
        <w:rPr>
          <w:szCs w:val="22"/>
        </w:rPr>
        <w:t xml:space="preserve">immediately </w:t>
      </w:r>
      <w:r>
        <w:rPr>
          <w:szCs w:val="22"/>
        </w:rPr>
        <w:t xml:space="preserve">subject to income taxation </w:t>
      </w:r>
      <w:r w:rsidRPr="000B485C">
        <w:rPr>
          <w:szCs w:val="22"/>
        </w:rPr>
        <w:t>and, if the individual is less than age 59</w:t>
      </w:r>
      <w:r>
        <w:rPr>
          <w:szCs w:val="22"/>
        </w:rPr>
        <w:t>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sidRPr="000B485C">
        <w:rPr>
          <w:szCs w:val="22"/>
        </w:rPr>
        <w:t>,</w:t>
      </w:r>
      <w:r>
        <w:rPr>
          <w:szCs w:val="22"/>
        </w:rPr>
        <w:t xml:space="preserve"> a</w:t>
      </w:r>
      <w:r w:rsidRPr="000B485C">
        <w:rPr>
          <w:szCs w:val="22"/>
        </w:rPr>
        <w:t xml:space="preserve"> penalty </w:t>
      </w:r>
      <w:r>
        <w:rPr>
          <w:szCs w:val="22"/>
        </w:rPr>
        <w:t>equal to 10 percent of the amount includible in the individual’s income may be imposed</w:t>
      </w:r>
      <w:r w:rsidRPr="000B485C">
        <w:rPr>
          <w:szCs w:val="22"/>
        </w:rPr>
        <w:t xml:space="preserve"> for premature distribution</w:t>
      </w:r>
      <w:r>
        <w:rPr>
          <w:szCs w:val="22"/>
        </w:rPr>
        <w:t>.</w:t>
      </w:r>
    </w:p>
    <w:p w14:paraId="5EED0281" w14:textId="77777777" w:rsidR="00825691" w:rsidRPr="000B485C" w:rsidRDefault="00825691" w:rsidP="00825E0B">
      <w:pPr>
        <w:rPr>
          <w:szCs w:val="22"/>
        </w:rPr>
      </w:pPr>
      <w:r>
        <w:rPr>
          <w:szCs w:val="22"/>
        </w:rPr>
        <w:t>T</w:t>
      </w:r>
      <w:r w:rsidRPr="000B485C">
        <w:rPr>
          <w:szCs w:val="22"/>
        </w:rPr>
        <w:t xml:space="preserve">he </w:t>
      </w:r>
      <w:r>
        <w:rPr>
          <w:szCs w:val="22"/>
        </w:rPr>
        <w:t xml:space="preserve">premium for the </w:t>
      </w:r>
      <w:r w:rsidRPr="000B485C">
        <w:rPr>
          <w:szCs w:val="22"/>
        </w:rPr>
        <w:t xml:space="preserve">annuity </w:t>
      </w:r>
      <w:r>
        <w:rPr>
          <w:szCs w:val="22"/>
        </w:rPr>
        <w:t xml:space="preserve">used to fund an IRA </w:t>
      </w:r>
      <w:r w:rsidRPr="000B485C">
        <w:rPr>
          <w:szCs w:val="22"/>
        </w:rPr>
        <w:t xml:space="preserve">must not be </w:t>
      </w:r>
      <w:r>
        <w:rPr>
          <w:szCs w:val="22"/>
        </w:rPr>
        <w:t xml:space="preserve">a </w:t>
      </w:r>
      <w:r w:rsidRPr="000B485C">
        <w:rPr>
          <w:szCs w:val="22"/>
        </w:rPr>
        <w:t>fixed</w:t>
      </w:r>
      <w:r>
        <w:rPr>
          <w:szCs w:val="22"/>
        </w:rPr>
        <w:t xml:space="preserve"> premium; instead,</w:t>
      </w:r>
      <w:r w:rsidRPr="000B485C">
        <w:rPr>
          <w:szCs w:val="22"/>
        </w:rPr>
        <w:t xml:space="preserve"> any annuity used to fund an IRA must have flexible premiums.</w:t>
      </w:r>
      <w:r w:rsidR="00297ACB">
        <w:rPr>
          <w:szCs w:val="22"/>
        </w:rPr>
        <w:t xml:space="preserve"> </w:t>
      </w:r>
      <w:r>
        <w:rPr>
          <w:szCs w:val="22"/>
        </w:rPr>
        <w:t>T</w:t>
      </w:r>
      <w:r w:rsidRPr="000B485C">
        <w:rPr>
          <w:szCs w:val="22"/>
        </w:rPr>
        <w:t xml:space="preserve">he annual premium may not exceed </w:t>
      </w:r>
      <w:r>
        <w:rPr>
          <w:szCs w:val="22"/>
        </w:rPr>
        <w:t>the maximum permitted contribution.</w:t>
      </w:r>
      <w:r w:rsidR="00297ACB">
        <w:rPr>
          <w:szCs w:val="22"/>
        </w:rPr>
        <w:t xml:space="preserve"> </w:t>
      </w:r>
      <w:r w:rsidRPr="000B485C">
        <w:rPr>
          <w:szCs w:val="22"/>
        </w:rPr>
        <w:t>Any dividend payable under the contract must be used to reduce future premiums or purchase additional benefits.</w:t>
      </w:r>
    </w:p>
    <w:p w14:paraId="458606C0" w14:textId="77777777" w:rsidR="00825691" w:rsidRPr="000B485C" w:rsidRDefault="00825691" w:rsidP="00825E0B">
      <w:pPr>
        <w:rPr>
          <w:szCs w:val="22"/>
        </w:rPr>
      </w:pPr>
      <w:r>
        <w:rPr>
          <w:szCs w:val="22"/>
        </w:rPr>
        <w:t>If the IRA is</w:t>
      </w:r>
      <w:r w:rsidRPr="000B485C">
        <w:rPr>
          <w:szCs w:val="22"/>
        </w:rPr>
        <w:t xml:space="preserve">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w:t>
      </w:r>
      <w:r w:rsidRPr="000B485C">
        <w:rPr>
          <w:szCs w:val="22"/>
        </w:rPr>
        <w:t xml:space="preserve"> </w:t>
      </w:r>
      <w:r w:rsidR="00D63ADA">
        <w:rPr>
          <w:szCs w:val="22"/>
        </w:rPr>
        <w:t xml:space="preserve">a) </w:t>
      </w:r>
      <w:r w:rsidRPr="000B485C">
        <w:rPr>
          <w:szCs w:val="22"/>
        </w:rPr>
        <w:t>the individual’s entire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Pr="000B485C">
        <w:rPr>
          <w:szCs w:val="22"/>
        </w:rPr>
        <w:t xml:space="preserve"> must be distributed by April 1</w:t>
      </w:r>
      <w:r w:rsidRPr="00A05AE8">
        <w:rPr>
          <w:szCs w:val="22"/>
          <w:vertAlign w:val="superscript"/>
        </w:rPr>
        <w:t>st</w:t>
      </w:r>
      <w:r>
        <w:rPr>
          <w:szCs w:val="22"/>
        </w:rPr>
        <w:t xml:space="preserve"> </w:t>
      </w:r>
      <w:r w:rsidRPr="000B485C">
        <w:rPr>
          <w:szCs w:val="22"/>
        </w:rPr>
        <w:t>of the year following the year in which he or she attained age 70</w:t>
      </w:r>
      <w:r>
        <w:rPr>
          <w:szCs w:val="22"/>
        </w:rPr>
        <w:t>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 xml:space="preserve">, </w:t>
      </w:r>
      <w:r w:rsidRPr="000B485C">
        <w:rPr>
          <w:szCs w:val="22"/>
        </w:rPr>
        <w:t>or</w:t>
      </w:r>
      <w:r w:rsidR="00D63ADA">
        <w:rPr>
          <w:szCs w:val="22"/>
        </w:rPr>
        <w:t xml:space="preserve"> b)</w:t>
      </w:r>
      <w:r w:rsidRPr="000B485C">
        <w:rPr>
          <w:szCs w:val="22"/>
        </w:rPr>
        <w:t xml:space="preserve"> distribution must begin by that date </w:t>
      </w:r>
      <w:r>
        <w:rPr>
          <w:szCs w:val="22"/>
        </w:rPr>
        <w:t>in accordance with required minimum distribution regulations.</w:t>
      </w:r>
    </w:p>
    <w:p w14:paraId="41BDBF34" w14:textId="77777777" w:rsidR="00825691" w:rsidRPr="000B485C" w:rsidRDefault="00825691" w:rsidP="00825E0B">
      <w:pPr>
        <w:rPr>
          <w:szCs w:val="22"/>
        </w:rPr>
      </w:pPr>
      <w:r>
        <w:rPr>
          <w:szCs w:val="22"/>
        </w:rPr>
        <w:t>D</w:t>
      </w:r>
      <w:r w:rsidRPr="000B485C">
        <w:rPr>
          <w:szCs w:val="22"/>
        </w:rPr>
        <w:t xml:space="preserve">istributions </w:t>
      </w:r>
      <w:r>
        <w:rPr>
          <w:szCs w:val="22"/>
        </w:rPr>
        <w:t xml:space="preserve">from an IRA </w:t>
      </w:r>
      <w:r w:rsidRPr="000B485C">
        <w:rPr>
          <w:szCs w:val="22"/>
        </w:rPr>
        <w:t>must comply with the incidental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sidRPr="000B485C">
        <w:rPr>
          <w:szCs w:val="22"/>
        </w:rPr>
        <w:t xml:space="preserve"> benefit rule.</w:t>
      </w:r>
      <w:r w:rsidR="00297ACB">
        <w:rPr>
          <w:szCs w:val="22"/>
        </w:rPr>
        <w:t xml:space="preserve"> </w:t>
      </w:r>
      <w:r>
        <w:rPr>
          <w:szCs w:val="22"/>
        </w:rPr>
        <w:t>T</w:t>
      </w:r>
      <w:r w:rsidRPr="000B485C">
        <w:rPr>
          <w:szCs w:val="22"/>
        </w:rPr>
        <w:t>his means that the IRA funds must be intended principall</w:t>
      </w:r>
      <w:r>
        <w:rPr>
          <w:szCs w:val="22"/>
        </w:rPr>
        <w:t>y for distribution to the owner, and</w:t>
      </w:r>
      <w:r w:rsidRPr="000B485C">
        <w:rPr>
          <w:szCs w:val="22"/>
        </w:rPr>
        <w:t xml:space="preserve"> </w:t>
      </w:r>
      <w:r>
        <w:rPr>
          <w:szCs w:val="22"/>
        </w:rPr>
        <w:t>a</w:t>
      </w:r>
      <w:r w:rsidRPr="000B485C">
        <w:rPr>
          <w:szCs w:val="22"/>
        </w:rPr>
        <w:t>ny distribution to</w:t>
      </w:r>
      <w:r>
        <w:rPr>
          <w:szCs w:val="22"/>
        </w:rPr>
        <w:t xml:space="preserve"> a</w:t>
      </w:r>
      <w:r w:rsidRPr="000B485C">
        <w:rPr>
          <w:szCs w:val="22"/>
        </w:rPr>
        <w:t xml:space="preserve"> benefi</w:t>
      </w:r>
      <w:r>
        <w:rPr>
          <w:szCs w:val="22"/>
        </w:rPr>
        <w:t>ciary must be only incidental.</w:t>
      </w:r>
      <w:r w:rsidR="00297ACB">
        <w:rPr>
          <w:szCs w:val="22"/>
        </w:rPr>
        <w:t xml:space="preserve"> </w:t>
      </w:r>
      <w:r>
        <w:rPr>
          <w:szCs w:val="22"/>
        </w:rPr>
        <w:t>T</w:t>
      </w:r>
      <w:r w:rsidRPr="000B485C">
        <w:rPr>
          <w:szCs w:val="22"/>
        </w:rPr>
        <w:t>he owner’s entire interest</w:t>
      </w:r>
      <w:r w:rsidR="00A95039">
        <w:rPr>
          <w:szCs w:val="22"/>
        </w:rPr>
        <w:fldChar w:fldCharType="begin"/>
      </w:r>
      <w:r w:rsidR="00293611">
        <w:instrText xml:space="preserve"> XE "</w:instrText>
      </w:r>
      <w:r w:rsidR="00293611" w:rsidRPr="00CD56BD">
        <w:rPr>
          <w:szCs w:val="22"/>
        </w:rPr>
        <w:instrText>interest</w:instrText>
      </w:r>
      <w:r w:rsidR="00293611">
        <w:instrText xml:space="preserve">" </w:instrText>
      </w:r>
      <w:r w:rsidR="00A95039">
        <w:rPr>
          <w:szCs w:val="22"/>
        </w:rPr>
        <w:fldChar w:fldCharType="end"/>
      </w:r>
      <w:r w:rsidRPr="000B485C">
        <w:rPr>
          <w:szCs w:val="22"/>
        </w:rPr>
        <w:t xml:space="preserve"> must be nonforfeitable.</w:t>
      </w:r>
    </w:p>
    <w:p w14:paraId="275D045C" w14:textId="77777777" w:rsidR="00825691" w:rsidRPr="00ED0D1A" w:rsidRDefault="00825691" w:rsidP="00825E0B">
      <w:pPr>
        <w:rPr>
          <w:szCs w:val="22"/>
        </w:rPr>
      </w:pPr>
      <w:r>
        <w:rPr>
          <w:szCs w:val="22"/>
        </w:rPr>
        <w:t>The</w:t>
      </w:r>
      <w:r w:rsidRPr="000B485C">
        <w:rPr>
          <w:szCs w:val="22"/>
        </w:rPr>
        <w:t xml:space="preserve"> </w:t>
      </w:r>
      <w:r>
        <w:rPr>
          <w:szCs w:val="22"/>
        </w:rPr>
        <w:t>principal benefit</w:t>
      </w:r>
      <w:r w:rsidRPr="000B485C">
        <w:rPr>
          <w:szCs w:val="22"/>
        </w:rPr>
        <w:t xml:space="preserve"> that accrue</w:t>
      </w:r>
      <w:r>
        <w:rPr>
          <w:szCs w:val="22"/>
        </w:rPr>
        <w:t>s</w:t>
      </w:r>
      <w:r w:rsidRPr="000B485C">
        <w:rPr>
          <w:szCs w:val="22"/>
        </w:rPr>
        <w:t xml:space="preserve"> to the individual and his or her beneficiaries when an IRA is funded by an annuity</w:t>
      </w:r>
      <w:r>
        <w:rPr>
          <w:szCs w:val="22"/>
        </w:rPr>
        <w:t xml:space="preserve"> is the a</w:t>
      </w:r>
      <w:r w:rsidRPr="000B485C">
        <w:rPr>
          <w:szCs w:val="22"/>
        </w:rPr>
        <w:t>vailability of a</w:t>
      </w:r>
      <w:r>
        <w:rPr>
          <w:szCs w:val="22"/>
        </w:rPr>
        <w:t>n</w:t>
      </w:r>
      <w:r w:rsidRPr="000B485C">
        <w:rPr>
          <w:szCs w:val="22"/>
        </w:rPr>
        <w:t xml:space="preserve"> income that can’t be outlived</w:t>
      </w:r>
      <w:r>
        <w:rPr>
          <w:szCs w:val="22"/>
        </w:rPr>
        <w:t>, although there are other benefits offered by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The NASD </w:t>
      </w:r>
      <w:r w:rsidR="00E27693">
        <w:rPr>
          <w:szCs w:val="22"/>
        </w:rPr>
        <w:t xml:space="preserve">(now FINRA) </w:t>
      </w:r>
      <w:r>
        <w:rPr>
          <w:szCs w:val="22"/>
        </w:rPr>
        <w:t>has published guidelines concerning the use of variable annuities to fund tax-qualified plans, including IRAs.</w:t>
      </w:r>
      <w:r w:rsidR="00297ACB">
        <w:rPr>
          <w:szCs w:val="22"/>
        </w:rPr>
        <w:t xml:space="preserve"> </w:t>
      </w:r>
      <w:r>
        <w:rPr>
          <w:szCs w:val="22"/>
        </w:rPr>
        <w:t xml:space="preserve">According to those guidelines, a variable annuity should be recommended only when the individual is seeking the </w:t>
      </w:r>
      <w:r>
        <w:rPr>
          <w:i/>
          <w:szCs w:val="22"/>
        </w:rPr>
        <w:t>non-tax benefits</w:t>
      </w:r>
      <w:r>
        <w:rPr>
          <w:szCs w:val="22"/>
        </w:rPr>
        <w:t xml:space="preserve"> of an annuity</w:t>
      </w:r>
      <w:r w:rsidR="00A95039">
        <w:rPr>
          <w:szCs w:val="22"/>
        </w:rPr>
        <w:fldChar w:fldCharType="begin"/>
      </w:r>
      <w:r w:rsidR="00293611">
        <w:instrText xml:space="preserve"> XE "</w:instrText>
      </w:r>
      <w:r w:rsidR="00293611" w:rsidRPr="00CD56BD">
        <w:rPr>
          <w:i/>
          <w:szCs w:val="22"/>
        </w:rPr>
        <w:instrText>non-tax benefits</w:instrText>
      </w:r>
      <w:r w:rsidR="00293611" w:rsidRPr="00CD56BD">
        <w:rPr>
          <w:szCs w:val="22"/>
        </w:rPr>
        <w:instrText xml:space="preserve"> of an annuity</w:instrText>
      </w:r>
      <w:r w:rsidR="00293611">
        <w:instrText xml:space="preserve">" </w:instrText>
      </w:r>
      <w:r w:rsidR="00A95039">
        <w:rPr>
          <w:szCs w:val="22"/>
        </w:rPr>
        <w:fldChar w:fldCharType="end"/>
      </w:r>
      <w:r>
        <w:rPr>
          <w:szCs w:val="22"/>
        </w:rPr>
        <w:t>.</w:t>
      </w:r>
      <w:r w:rsidR="00297ACB">
        <w:rPr>
          <w:szCs w:val="22"/>
        </w:rPr>
        <w:t xml:space="preserve"> </w:t>
      </w:r>
      <w:r>
        <w:rPr>
          <w:szCs w:val="22"/>
        </w:rPr>
        <w:t>The principle enunciated in those guidelines should also apply to the use of a fixed annuity as an IRA funding vehicle.</w:t>
      </w:r>
      <w:r w:rsidR="00D520D6">
        <w:rPr>
          <w:szCs w:val="22"/>
        </w:rPr>
        <w:t xml:space="preserve"> (Note Variable Annuity Suitability Requirements below.)</w:t>
      </w:r>
    </w:p>
    <w:p w14:paraId="367D086D" w14:textId="77777777" w:rsidR="001E1F61" w:rsidRDefault="00D63ADA" w:rsidP="001E1F61">
      <w:pPr>
        <w:pStyle w:val="Heading4"/>
      </w:pPr>
      <w:bookmarkStart w:id="118" w:name="_Toc404357199"/>
      <w:r>
        <w:t xml:space="preserve">Non-Tax Benefit #1: </w:t>
      </w:r>
      <w:r w:rsidR="001E1F61">
        <w:t>Annuity Death Benefits</w:t>
      </w:r>
      <w:bookmarkEnd w:id="118"/>
    </w:p>
    <w:p w14:paraId="75B9109E" w14:textId="77777777" w:rsidR="00825691" w:rsidRPr="000B485C" w:rsidRDefault="00825691" w:rsidP="00825E0B">
      <w:pPr>
        <w:rPr>
          <w:szCs w:val="22"/>
        </w:rPr>
      </w:pPr>
      <w:r>
        <w:rPr>
          <w:szCs w:val="22"/>
        </w:rPr>
        <w:t>One of the important annuity benefits relates to its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Pr>
          <w:szCs w:val="22"/>
        </w:rPr>
        <w:t xml:space="preserve"> benefits.</w:t>
      </w:r>
      <w:r w:rsidR="00297ACB">
        <w:rPr>
          <w:szCs w:val="22"/>
        </w:rPr>
        <w:t xml:space="preserve"> </w:t>
      </w:r>
      <w:r w:rsidRPr="000B485C">
        <w:rPr>
          <w:szCs w:val="22"/>
        </w:rPr>
        <w:t>Annuities</w:t>
      </w:r>
      <w:r>
        <w:rPr>
          <w:szCs w:val="22"/>
        </w:rPr>
        <w:t xml:space="preserve"> generally</w:t>
      </w:r>
      <w:r w:rsidRPr="000B485C">
        <w:rPr>
          <w:szCs w:val="22"/>
        </w:rPr>
        <w:t xml:space="preserve"> provide a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that ensures the IRA </w:t>
      </w:r>
      <w:r>
        <w:rPr>
          <w:szCs w:val="22"/>
        </w:rPr>
        <w:t>owner</w:t>
      </w:r>
      <w:r w:rsidRPr="000B485C">
        <w:rPr>
          <w:szCs w:val="22"/>
        </w:rPr>
        <w:t xml:space="preserve"> that, before income benefits begin, his or her estate will receive at dea</w:t>
      </w:r>
      <w:r>
        <w:rPr>
          <w:szCs w:val="22"/>
        </w:rPr>
        <w:t>th no less than the</w:t>
      </w:r>
      <w:r w:rsidRPr="000B485C">
        <w:rPr>
          <w:szCs w:val="22"/>
        </w:rPr>
        <w:t xml:space="preserve"> cumulative contributions</w:t>
      </w:r>
      <w:r>
        <w:rPr>
          <w:szCs w:val="22"/>
        </w:rPr>
        <w:t xml:space="preserve"> made to the plan</w:t>
      </w:r>
      <w:r w:rsidRPr="000B485C">
        <w:rPr>
          <w:szCs w:val="22"/>
        </w:rPr>
        <w:t>, less any distributions</w:t>
      </w:r>
      <w:r>
        <w:rPr>
          <w:szCs w:val="22"/>
        </w:rPr>
        <w:t xml:space="preserve"> taken</w:t>
      </w:r>
      <w:r w:rsidRPr="000B485C">
        <w:rPr>
          <w:szCs w:val="22"/>
        </w:rPr>
        <w:t>.</w:t>
      </w:r>
      <w:r w:rsidR="00297ACB">
        <w:rPr>
          <w:szCs w:val="22"/>
        </w:rPr>
        <w:t xml:space="preserve"> </w:t>
      </w:r>
      <w:r w:rsidRPr="000B485C">
        <w:rPr>
          <w:szCs w:val="22"/>
        </w:rPr>
        <w:t xml:space="preserve">That </w:t>
      </w:r>
      <w:r>
        <w:rPr>
          <w:szCs w:val="22"/>
        </w:rPr>
        <w:t>provision applies</w:t>
      </w:r>
      <w:r w:rsidRPr="000B485C">
        <w:rPr>
          <w:szCs w:val="22"/>
        </w:rPr>
        <w:t xml:space="preserve"> regardless of any asset losses due to investment results.</w:t>
      </w:r>
      <w:r w:rsidR="00297ACB">
        <w:rPr>
          <w:szCs w:val="22"/>
        </w:rPr>
        <w:t xml:space="preserve"> </w:t>
      </w:r>
      <w:r w:rsidRPr="000B485C">
        <w:rPr>
          <w:szCs w:val="22"/>
        </w:rPr>
        <w:t xml:space="preserve">In </w:t>
      </w:r>
      <w:r>
        <w:rPr>
          <w:szCs w:val="22"/>
        </w:rPr>
        <w:t>variable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Pr>
          <w:szCs w:val="22"/>
        </w:rPr>
        <w:t xml:space="preserve"> of </w:t>
      </w:r>
      <w:r w:rsidRPr="000B485C">
        <w:rPr>
          <w:szCs w:val="22"/>
        </w:rPr>
        <w:t xml:space="preserve">more recent </w:t>
      </w:r>
      <w:r>
        <w:rPr>
          <w:szCs w:val="22"/>
        </w:rPr>
        <w:t>vintage</w:t>
      </w:r>
      <w:r w:rsidRPr="000B485C">
        <w:rPr>
          <w:szCs w:val="22"/>
        </w:rPr>
        <w:t>, this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guarantee has become even more attractive.</w:t>
      </w:r>
      <w:r w:rsidR="00297ACB">
        <w:rPr>
          <w:szCs w:val="22"/>
        </w:rPr>
        <w:t xml:space="preserve"> </w:t>
      </w:r>
      <w:r w:rsidR="00D63ADA">
        <w:rPr>
          <w:szCs w:val="22"/>
        </w:rPr>
        <w:t>V</w:t>
      </w:r>
      <w:r w:rsidRPr="000B485C">
        <w:rPr>
          <w:szCs w:val="22"/>
        </w:rPr>
        <w:t>ariable annuities have added a special enhancement to the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by providing a step-up in the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periodically until the contract owner reaches a particular age.</w:t>
      </w:r>
    </w:p>
    <w:p w14:paraId="57BF6120" w14:textId="77777777" w:rsidR="00825691" w:rsidRPr="000B485C" w:rsidRDefault="00825691" w:rsidP="00825E0B">
      <w:pPr>
        <w:rPr>
          <w:szCs w:val="22"/>
        </w:rPr>
      </w:pPr>
      <w:r>
        <w:rPr>
          <w:szCs w:val="22"/>
        </w:rPr>
        <w:t>For example, o</w:t>
      </w:r>
      <w:r w:rsidRPr="000B485C">
        <w:rPr>
          <w:szCs w:val="22"/>
        </w:rPr>
        <w:t>ne variable annuity contract</w:t>
      </w:r>
      <w:r>
        <w:rPr>
          <w:szCs w:val="22"/>
        </w:rPr>
        <w:t xml:space="preserve"> provides</w:t>
      </w:r>
      <w:r w:rsidRPr="000B485C">
        <w:rPr>
          <w:szCs w:val="22"/>
        </w:rPr>
        <w:t xml:space="preserve"> </w:t>
      </w:r>
      <w:r>
        <w:rPr>
          <w:szCs w:val="22"/>
        </w:rPr>
        <w:t>a</w:t>
      </w:r>
      <w:r w:rsidRPr="000B485C">
        <w:rPr>
          <w:szCs w:val="22"/>
        </w:rPr>
        <w:t xml:space="preserve"> step-up in the following way.</w:t>
      </w:r>
      <w:r w:rsidR="00297ACB">
        <w:rPr>
          <w:szCs w:val="22"/>
        </w:rPr>
        <w:t xml:space="preserve"> </w:t>
      </w:r>
      <w:r w:rsidRPr="000B485C">
        <w:rPr>
          <w:szCs w:val="22"/>
        </w:rPr>
        <w:t>On the 7</w:t>
      </w:r>
      <w:r w:rsidRPr="00B219DC">
        <w:rPr>
          <w:szCs w:val="22"/>
          <w:vertAlign w:val="superscript"/>
        </w:rPr>
        <w:t>th</w:t>
      </w:r>
      <w:r>
        <w:rPr>
          <w:szCs w:val="22"/>
        </w:rPr>
        <w:t xml:space="preserve"> </w:t>
      </w:r>
      <w:r w:rsidRPr="000B485C">
        <w:rPr>
          <w:szCs w:val="22"/>
        </w:rPr>
        <w:t>contract anniversary and every 7</w:t>
      </w:r>
      <w:r w:rsidRPr="00B219DC">
        <w:rPr>
          <w:szCs w:val="22"/>
          <w:vertAlign w:val="superscript"/>
        </w:rPr>
        <w:t>th</w:t>
      </w:r>
      <w:r w:rsidRPr="000B485C">
        <w:rPr>
          <w:szCs w:val="22"/>
        </w:rPr>
        <w:t xml:space="preserve"> subsequent contract anniversary, the minimum guaranteed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sidRPr="000B485C">
        <w:rPr>
          <w:szCs w:val="22"/>
        </w:rPr>
        <w:t xml:space="preserve"> benefit is recalculated.</w:t>
      </w:r>
      <w:r w:rsidR="00297ACB">
        <w:rPr>
          <w:szCs w:val="22"/>
        </w:rPr>
        <w:t xml:space="preserve"> </w:t>
      </w:r>
      <w:r>
        <w:rPr>
          <w:szCs w:val="22"/>
        </w:rPr>
        <w:t>T</w:t>
      </w:r>
      <w:r w:rsidRPr="000B485C">
        <w:rPr>
          <w:szCs w:val="22"/>
        </w:rPr>
        <w:t>he guaranteed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may increase or remain the same</w:t>
      </w:r>
      <w:r>
        <w:rPr>
          <w:szCs w:val="22"/>
        </w:rPr>
        <w:t xml:space="preserve"> a</w:t>
      </w:r>
      <w:r w:rsidRPr="000B485C">
        <w:rPr>
          <w:szCs w:val="22"/>
        </w:rPr>
        <w:t xml:space="preserve">s a result of this recalculation; </w:t>
      </w:r>
      <w:r>
        <w:rPr>
          <w:szCs w:val="22"/>
        </w:rPr>
        <w:t xml:space="preserve">the recalculation </w:t>
      </w:r>
      <w:r w:rsidRPr="000B485C">
        <w:rPr>
          <w:szCs w:val="22"/>
        </w:rPr>
        <w:t xml:space="preserve">will never </w:t>
      </w:r>
      <w:r>
        <w:rPr>
          <w:szCs w:val="22"/>
        </w:rPr>
        <w:t>cause the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Pr>
          <w:szCs w:val="22"/>
        </w:rPr>
        <w:t xml:space="preserve"> to </w:t>
      </w:r>
      <w:r w:rsidRPr="000B485C">
        <w:rPr>
          <w:szCs w:val="22"/>
        </w:rPr>
        <w:t>reduce</w:t>
      </w:r>
      <w:r>
        <w:rPr>
          <w:szCs w:val="22"/>
        </w:rPr>
        <w:t xml:space="preserve"> from its previous level</w:t>
      </w:r>
      <w:r w:rsidRPr="000B485C">
        <w:rPr>
          <w:szCs w:val="22"/>
        </w:rPr>
        <w:t>.</w:t>
      </w:r>
      <w:r w:rsidR="00297ACB">
        <w:rPr>
          <w:szCs w:val="22"/>
        </w:rPr>
        <w:t xml:space="preserve"> </w:t>
      </w:r>
      <w:r w:rsidRPr="000B485C">
        <w:rPr>
          <w:szCs w:val="22"/>
        </w:rPr>
        <w:t xml:space="preserve">The net result </w:t>
      </w:r>
      <w:r>
        <w:rPr>
          <w:szCs w:val="22"/>
        </w:rPr>
        <w:t xml:space="preserve">of this recalculation provision </w:t>
      </w:r>
      <w:r w:rsidRPr="000B485C">
        <w:rPr>
          <w:szCs w:val="22"/>
        </w:rPr>
        <w:t>is to lock-in contract gains, for</w:t>
      </w:r>
      <w:r>
        <w:rPr>
          <w:szCs w:val="22"/>
        </w:rPr>
        <w:t xml:space="preserve">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purposes, every seven years.</w:t>
      </w:r>
      <w:r w:rsidR="00297ACB">
        <w:rPr>
          <w:szCs w:val="22"/>
        </w:rPr>
        <w:t xml:space="preserve"> </w:t>
      </w:r>
      <w:r w:rsidRPr="000B485C">
        <w:rPr>
          <w:szCs w:val="22"/>
        </w:rPr>
        <w:t>Let’s examine the recalculation.</w:t>
      </w:r>
    </w:p>
    <w:p w14:paraId="63FDFFD6" w14:textId="77777777" w:rsidR="00825691" w:rsidRPr="000B485C" w:rsidRDefault="00825691" w:rsidP="00825E0B">
      <w:pPr>
        <w:rPr>
          <w:szCs w:val="22"/>
        </w:rPr>
      </w:pPr>
      <w:r>
        <w:rPr>
          <w:szCs w:val="22"/>
        </w:rPr>
        <w:t>When the contract is purchased</w:t>
      </w:r>
      <w:r w:rsidRPr="000B485C">
        <w:rPr>
          <w:szCs w:val="22"/>
        </w:rPr>
        <w:t>, the guaranteed minimum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sidRPr="000B485C">
        <w:rPr>
          <w:szCs w:val="22"/>
        </w:rPr>
        <w:t xml:space="preserve"> benefit is equal to the contract owner’s initial purchase payment.</w:t>
      </w:r>
      <w:r w:rsidR="00297ACB">
        <w:rPr>
          <w:szCs w:val="22"/>
        </w:rPr>
        <w:t xml:space="preserve"> </w:t>
      </w:r>
      <w:r w:rsidRPr="000B485C">
        <w:rPr>
          <w:szCs w:val="22"/>
        </w:rPr>
        <w:t>The actual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Pr>
          <w:szCs w:val="22"/>
        </w:rPr>
        <w:t xml:space="preserve"> at any time may be greater than the guaranteed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w:t>
      </w:r>
      <w:r>
        <w:rPr>
          <w:szCs w:val="22"/>
        </w:rPr>
        <w:t>since it</w:t>
      </w:r>
      <w:r w:rsidRPr="000B485C">
        <w:rPr>
          <w:szCs w:val="22"/>
        </w:rPr>
        <w:t xml:space="preserve"> is equal to the greater of the </w:t>
      </w:r>
      <w:r>
        <w:rPr>
          <w:szCs w:val="22"/>
        </w:rPr>
        <w:t>cumulative premium</w:t>
      </w:r>
      <w:r w:rsidRPr="000B485C">
        <w:rPr>
          <w:szCs w:val="22"/>
        </w:rPr>
        <w:t xml:space="preserve"> and the current value at death.</w:t>
      </w:r>
      <w:r w:rsidR="00297ACB">
        <w:rPr>
          <w:szCs w:val="22"/>
        </w:rPr>
        <w:t xml:space="preserve"> </w:t>
      </w:r>
      <w:r w:rsidRPr="000B485C">
        <w:rPr>
          <w:szCs w:val="22"/>
        </w:rPr>
        <w:t>During the first 7 years, the guaranteed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will increase by any subsequent </w:t>
      </w:r>
      <w:r>
        <w:rPr>
          <w:szCs w:val="22"/>
        </w:rPr>
        <w:t>premium</w:t>
      </w:r>
      <w:r w:rsidRPr="000B485C">
        <w:rPr>
          <w:szCs w:val="22"/>
        </w:rPr>
        <w:t xml:space="preserve"> payments and decrease by any withdrawals.</w:t>
      </w:r>
    </w:p>
    <w:p w14:paraId="224C8E35" w14:textId="77777777" w:rsidR="00825691" w:rsidRDefault="00825691" w:rsidP="00825E0B">
      <w:pPr>
        <w:rPr>
          <w:szCs w:val="22"/>
        </w:rPr>
      </w:pPr>
      <w:r w:rsidRPr="000B485C">
        <w:rPr>
          <w:szCs w:val="22"/>
        </w:rPr>
        <w:t>On the 7</w:t>
      </w:r>
      <w:r w:rsidRPr="00A124F4">
        <w:rPr>
          <w:szCs w:val="22"/>
          <w:vertAlign w:val="superscript"/>
        </w:rPr>
        <w:t>th</w:t>
      </w:r>
      <w:r>
        <w:rPr>
          <w:szCs w:val="22"/>
        </w:rPr>
        <w:t xml:space="preserve"> </w:t>
      </w:r>
      <w:r w:rsidRPr="000B485C">
        <w:rPr>
          <w:szCs w:val="22"/>
        </w:rPr>
        <w:t>contract anniversary, the value of the contract is compared to the minimum death</w:t>
      </w:r>
      <w:r w:rsidR="00A95039">
        <w:rPr>
          <w:szCs w:val="22"/>
        </w:rPr>
        <w:fldChar w:fldCharType="begin"/>
      </w:r>
      <w:r w:rsidR="00293611">
        <w:instrText xml:space="preserve"> XE "</w:instrText>
      </w:r>
      <w:r w:rsidR="00293611" w:rsidRPr="00CD56BD">
        <w:instrText>death</w:instrText>
      </w:r>
      <w:r w:rsidR="00293611">
        <w:instrText xml:space="preserve">" </w:instrText>
      </w:r>
      <w:r w:rsidR="00A95039">
        <w:rPr>
          <w:szCs w:val="22"/>
        </w:rPr>
        <w:fldChar w:fldCharType="end"/>
      </w:r>
      <w:r w:rsidRPr="000B485C">
        <w:rPr>
          <w:szCs w:val="22"/>
        </w:rPr>
        <w:t xml:space="preserve"> benefit</w:t>
      </w:r>
      <w:r>
        <w:rPr>
          <w:szCs w:val="22"/>
        </w:rPr>
        <w:t>, and the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Pr>
          <w:szCs w:val="22"/>
        </w:rPr>
        <w:t xml:space="preserve"> may be increased</w:t>
      </w:r>
      <w:r w:rsidRPr="000B485C">
        <w:rPr>
          <w:szCs w:val="22"/>
        </w:rPr>
        <w:t>.</w:t>
      </w:r>
      <w:r w:rsidR="00297ACB">
        <w:rPr>
          <w:szCs w:val="22"/>
        </w:rPr>
        <w:t xml:space="preserve"> </w:t>
      </w:r>
      <w:r w:rsidRPr="000B485C">
        <w:rPr>
          <w:szCs w:val="22"/>
        </w:rPr>
        <w:t xml:space="preserve">If the value of the contract is lower than the </w:t>
      </w:r>
      <w:r w:rsidRPr="000B485C">
        <w:rPr>
          <w:szCs w:val="22"/>
        </w:rPr>
        <w:lastRenderedPageBreak/>
        <w:t>previous minimum death bene</w:t>
      </w:r>
      <w:r>
        <w:rPr>
          <w:szCs w:val="22"/>
        </w:rPr>
        <w:t>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the guaranteed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w:t>
      </w:r>
      <w:r>
        <w:rPr>
          <w:szCs w:val="22"/>
        </w:rPr>
        <w:t>stays at its current level</w:t>
      </w:r>
      <w:r w:rsidRPr="000B485C">
        <w:rPr>
          <w:szCs w:val="22"/>
        </w:rPr>
        <w:t>.</w:t>
      </w:r>
      <w:r w:rsidR="00297ACB">
        <w:rPr>
          <w:szCs w:val="22"/>
        </w:rPr>
        <w:t xml:space="preserve"> </w:t>
      </w:r>
      <w:r w:rsidRPr="000B485C">
        <w:rPr>
          <w:szCs w:val="22"/>
        </w:rPr>
        <w:t>If the value of the contract is higher than the previous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the guaranteed minimum death benefit</w:t>
      </w:r>
      <w:r w:rsidR="00A95039">
        <w:rPr>
          <w:szCs w:val="22"/>
        </w:rPr>
        <w:fldChar w:fldCharType="begin"/>
      </w:r>
      <w:r w:rsidR="00293611">
        <w:instrText xml:space="preserve"> XE "</w:instrText>
      </w:r>
      <w:r w:rsidR="00293611" w:rsidRPr="00CD56BD">
        <w:rPr>
          <w:szCs w:val="22"/>
        </w:rPr>
        <w:instrText>Annuity death benefit</w:instrText>
      </w:r>
      <w:r w:rsidR="00293611">
        <w:instrText xml:space="preserve">" </w:instrText>
      </w:r>
      <w:r w:rsidR="00A95039">
        <w:rPr>
          <w:szCs w:val="22"/>
        </w:rPr>
        <w:fldChar w:fldCharType="end"/>
      </w:r>
      <w:r w:rsidRPr="000B485C">
        <w:rPr>
          <w:szCs w:val="22"/>
        </w:rPr>
        <w:t xml:space="preserve"> is increased to equal the </w:t>
      </w:r>
      <w:r>
        <w:rPr>
          <w:szCs w:val="22"/>
        </w:rPr>
        <w:t xml:space="preserve">contract </w:t>
      </w:r>
      <w:r w:rsidRPr="000B485C">
        <w:rPr>
          <w:szCs w:val="22"/>
        </w:rPr>
        <w:t>value on the recalculation date.</w:t>
      </w:r>
      <w:r w:rsidR="00297ACB">
        <w:rPr>
          <w:szCs w:val="22"/>
        </w:rPr>
        <w:t xml:space="preserve"> </w:t>
      </w:r>
      <w:r>
        <w:rPr>
          <w:szCs w:val="22"/>
        </w:rPr>
        <w:t xml:space="preserve">This is a </w:t>
      </w:r>
      <w:r w:rsidRPr="000B485C">
        <w:rPr>
          <w:szCs w:val="22"/>
        </w:rPr>
        <w:t xml:space="preserve">benefit </w:t>
      </w:r>
      <w:r>
        <w:rPr>
          <w:szCs w:val="22"/>
        </w:rPr>
        <w:t xml:space="preserve">that isn’t likely to be replicated </w:t>
      </w:r>
      <w:r w:rsidRPr="000B485C">
        <w:rPr>
          <w:szCs w:val="22"/>
        </w:rPr>
        <w:t>in other types of investments.</w:t>
      </w:r>
    </w:p>
    <w:p w14:paraId="6DF85C72" w14:textId="77777777" w:rsidR="00D63ADA" w:rsidRPr="000B485C" w:rsidRDefault="00D63ADA" w:rsidP="00825E0B">
      <w:pPr>
        <w:rPr>
          <w:szCs w:val="22"/>
        </w:rPr>
      </w:pPr>
      <w:r>
        <w:t xml:space="preserve">Variable annuity issuers may offer more frequent death benefit step-ups or may offer a death benefit rollup under which the death benefit would be equal to no less than net premiums accumulated at a specified interest rate. </w:t>
      </w:r>
    </w:p>
    <w:p w14:paraId="6BFF6F68" w14:textId="77777777" w:rsidR="001E1F61" w:rsidRDefault="00D63ADA" w:rsidP="001E1F61">
      <w:pPr>
        <w:pStyle w:val="Heading4"/>
      </w:pPr>
      <w:bookmarkStart w:id="119" w:name="_Toc404357200"/>
      <w:r>
        <w:t xml:space="preserve">Non-Tax Benefit #2: </w:t>
      </w:r>
      <w:r w:rsidR="001E1F61">
        <w:t>Annuity Life Income</w:t>
      </w:r>
      <w:bookmarkEnd w:id="119"/>
    </w:p>
    <w:p w14:paraId="4161DB7F" w14:textId="77777777" w:rsidR="00825691" w:rsidRPr="000B485C" w:rsidRDefault="00825691" w:rsidP="00825E0B">
      <w:pPr>
        <w:rPr>
          <w:i/>
          <w:szCs w:val="22"/>
        </w:rPr>
      </w:pPr>
      <w:r w:rsidRPr="000B485C">
        <w:rPr>
          <w:szCs w:val="22"/>
        </w:rPr>
        <w:t xml:space="preserve">The other principal benefit </w:t>
      </w:r>
      <w:r>
        <w:rPr>
          <w:szCs w:val="22"/>
        </w:rPr>
        <w:t>of an annuity is its</w:t>
      </w:r>
      <w:r w:rsidRPr="000B485C">
        <w:rPr>
          <w:szCs w:val="22"/>
        </w:rPr>
        <w:t xml:space="preserve"> ability to provide a lifetime income</w:t>
      </w:r>
      <w:r w:rsidR="00A95039">
        <w:rPr>
          <w:szCs w:val="22"/>
        </w:rPr>
        <w:fldChar w:fldCharType="begin"/>
      </w:r>
      <w:r w:rsidR="00293611">
        <w:instrText xml:space="preserve"> XE "</w:instrText>
      </w:r>
      <w:r w:rsidR="00293611" w:rsidRPr="00CD56BD">
        <w:rPr>
          <w:szCs w:val="22"/>
        </w:rPr>
        <w:instrText>lifetime income</w:instrText>
      </w:r>
      <w:r w:rsidR="00293611">
        <w:instrText xml:space="preserve">" </w:instrText>
      </w:r>
      <w:r w:rsidR="00A95039">
        <w:rPr>
          <w:szCs w:val="22"/>
        </w:rPr>
        <w:fldChar w:fldCharType="end"/>
      </w:r>
      <w:r w:rsidRPr="000B485C">
        <w:rPr>
          <w:szCs w:val="22"/>
        </w:rPr>
        <w:t xml:space="preserve"> to </w:t>
      </w:r>
      <w:r>
        <w:rPr>
          <w:szCs w:val="22"/>
        </w:rPr>
        <w:t>the</w:t>
      </w:r>
      <w:r w:rsidRPr="000B485C">
        <w:rPr>
          <w:szCs w:val="22"/>
        </w:rPr>
        <w:t xml:space="preserve"> IRA </w:t>
      </w:r>
      <w:r>
        <w:rPr>
          <w:szCs w:val="22"/>
        </w:rPr>
        <w:t>owner</w:t>
      </w:r>
      <w:r w:rsidRPr="000B485C">
        <w:rPr>
          <w:szCs w:val="22"/>
        </w:rPr>
        <w:t>.</w:t>
      </w:r>
      <w:r w:rsidR="00297ACB">
        <w:rPr>
          <w:szCs w:val="22"/>
        </w:rPr>
        <w:t xml:space="preserve"> </w:t>
      </w:r>
      <w:r w:rsidRPr="000B485C">
        <w:rPr>
          <w:szCs w:val="22"/>
        </w:rPr>
        <w:t>A</w:t>
      </w:r>
      <w:r>
        <w:rPr>
          <w:szCs w:val="22"/>
        </w:rPr>
        <w:t>lthough an</w:t>
      </w:r>
      <w:r w:rsidRPr="000B485C">
        <w:rPr>
          <w:szCs w:val="22"/>
        </w:rPr>
        <w:t xml:space="preserve"> IRA </w:t>
      </w:r>
      <w:r>
        <w:rPr>
          <w:szCs w:val="22"/>
        </w:rPr>
        <w:t>could be</w:t>
      </w:r>
      <w:r w:rsidRPr="000B485C">
        <w:rPr>
          <w:szCs w:val="22"/>
        </w:rPr>
        <w:t xml:space="preserve"> invested in something other than an annuity</w:t>
      </w:r>
      <w:r>
        <w:rPr>
          <w:szCs w:val="22"/>
        </w:rPr>
        <w:t>—a mutual fund, for example—</w:t>
      </w:r>
      <w:r w:rsidRPr="000B485C">
        <w:rPr>
          <w:szCs w:val="22"/>
        </w:rPr>
        <w:t>during the accumulation phase</w:t>
      </w:r>
      <w:r w:rsidR="00A95039">
        <w:rPr>
          <w:szCs w:val="22"/>
        </w:rPr>
        <w:fldChar w:fldCharType="begin"/>
      </w:r>
      <w:r w:rsidR="00293611">
        <w:instrText xml:space="preserve"> XE "</w:instrText>
      </w:r>
      <w:r w:rsidR="00293611" w:rsidRPr="00CD56BD">
        <w:rPr>
          <w:szCs w:val="22"/>
        </w:rPr>
        <w:instrText>accumulation phase</w:instrText>
      </w:r>
      <w:r w:rsidR="00293611">
        <w:instrText xml:space="preserve">" </w:instrText>
      </w:r>
      <w:r w:rsidR="00A95039">
        <w:rPr>
          <w:szCs w:val="22"/>
        </w:rPr>
        <w:fldChar w:fldCharType="end"/>
      </w:r>
      <w:r>
        <w:rPr>
          <w:szCs w:val="22"/>
        </w:rPr>
        <w:t xml:space="preserve"> and</w:t>
      </w:r>
      <w:r w:rsidRPr="000B485C">
        <w:rPr>
          <w:szCs w:val="22"/>
        </w:rPr>
        <w:t xml:space="preserve"> </w:t>
      </w:r>
      <w:r>
        <w:rPr>
          <w:szCs w:val="22"/>
        </w:rPr>
        <w:t>an</w:t>
      </w:r>
      <w:r w:rsidRPr="000B485C">
        <w:rPr>
          <w:szCs w:val="22"/>
        </w:rPr>
        <w:t xml:space="preserve"> annuity purch</w:t>
      </w:r>
      <w:r>
        <w:rPr>
          <w:szCs w:val="22"/>
        </w:rPr>
        <w:t>ased at the time of retirement, that strategy would cause the IRA owner to lose the possibly more-favorable guaranteed annuity rates</w:t>
      </w:r>
      <w:r w:rsidR="00D63ADA" w:rsidRPr="00D63ADA">
        <w:t xml:space="preserve"> </w:t>
      </w:r>
      <w:r w:rsidR="00D63ADA">
        <w:t>that were available</w:t>
      </w:r>
      <w:r>
        <w:rPr>
          <w:szCs w:val="22"/>
        </w:rPr>
        <w:t xml:space="preserve"> in the </w:t>
      </w:r>
      <w:r w:rsidR="00D63ADA">
        <w:rPr>
          <w:szCs w:val="22"/>
        </w:rPr>
        <w:t xml:space="preserve">annuity </w:t>
      </w:r>
      <w:r>
        <w:rPr>
          <w:szCs w:val="22"/>
        </w:rPr>
        <w:t>contract at an earlier date.</w:t>
      </w:r>
      <w:r w:rsidR="00297ACB">
        <w:rPr>
          <w:szCs w:val="22"/>
        </w:rPr>
        <w:t xml:space="preserve"> </w:t>
      </w:r>
      <w:r>
        <w:rPr>
          <w:szCs w:val="22"/>
        </w:rPr>
        <w:t>Although</w:t>
      </w:r>
      <w:r w:rsidRPr="000B485C">
        <w:rPr>
          <w:szCs w:val="22"/>
        </w:rPr>
        <w:t xml:space="preserve"> life insurance rates generally decline as mortality rates become more favorable</w:t>
      </w:r>
      <w:r>
        <w:rPr>
          <w:szCs w:val="22"/>
        </w:rPr>
        <w:t xml:space="preserve"> over time,</w:t>
      </w:r>
      <w:r w:rsidRPr="000B485C">
        <w:rPr>
          <w:szCs w:val="22"/>
        </w:rPr>
        <w:t xml:space="preserve"> life annuity rates </w:t>
      </w:r>
      <w:r>
        <w:rPr>
          <w:szCs w:val="22"/>
        </w:rPr>
        <w:t xml:space="preserve">tend to become less favorable as </w:t>
      </w:r>
      <w:r w:rsidRPr="000B485C">
        <w:rPr>
          <w:szCs w:val="22"/>
        </w:rPr>
        <w:t xml:space="preserve">mortality rates </w:t>
      </w:r>
      <w:r>
        <w:rPr>
          <w:szCs w:val="22"/>
        </w:rPr>
        <w:t>improve</w:t>
      </w:r>
      <w:r w:rsidR="00D63ADA" w:rsidRPr="00D63ADA">
        <w:t xml:space="preserve"> </w:t>
      </w:r>
      <w:r w:rsidR="00D63ADA">
        <w:t>as a result of greater longevity</w:t>
      </w:r>
      <w:r>
        <w:rPr>
          <w:szCs w:val="22"/>
        </w:rPr>
        <w:t>.</w:t>
      </w:r>
    </w:p>
    <w:p w14:paraId="622E7492" w14:textId="77777777" w:rsidR="00825691" w:rsidRDefault="00825691" w:rsidP="00825E0B">
      <w:pPr>
        <w:rPr>
          <w:szCs w:val="22"/>
        </w:rPr>
      </w:pPr>
      <w:r w:rsidRPr="000B485C">
        <w:rPr>
          <w:szCs w:val="22"/>
        </w:rPr>
        <w:t xml:space="preserve">As mortality rates improve, the </w:t>
      </w:r>
      <w:r>
        <w:rPr>
          <w:szCs w:val="22"/>
        </w:rPr>
        <w:t xml:space="preserve">insurance company’s </w:t>
      </w:r>
      <w:r w:rsidRPr="000B485C">
        <w:rPr>
          <w:szCs w:val="22"/>
        </w:rPr>
        <w:t>cost to provide a lifeti</w:t>
      </w:r>
      <w:r>
        <w:rPr>
          <w:szCs w:val="22"/>
        </w:rPr>
        <w:t>me income</w:t>
      </w:r>
      <w:r w:rsidR="00A95039">
        <w:rPr>
          <w:szCs w:val="22"/>
        </w:rPr>
        <w:fldChar w:fldCharType="begin"/>
      </w:r>
      <w:r w:rsidR="00293611">
        <w:instrText xml:space="preserve"> XE "</w:instrText>
      </w:r>
      <w:r w:rsidR="00293611" w:rsidRPr="00CD56BD">
        <w:rPr>
          <w:szCs w:val="22"/>
        </w:rPr>
        <w:instrText>lifetime income</w:instrText>
      </w:r>
      <w:r w:rsidR="00293611">
        <w:instrText xml:space="preserve">" </w:instrText>
      </w:r>
      <w:r w:rsidR="00A95039">
        <w:rPr>
          <w:szCs w:val="22"/>
        </w:rPr>
        <w:fldChar w:fldCharType="end"/>
      </w:r>
      <w:r>
        <w:rPr>
          <w:szCs w:val="22"/>
        </w:rPr>
        <w:t xml:space="preserve"> must increase since the income</w:t>
      </w:r>
      <w:r w:rsidRPr="000B485C">
        <w:rPr>
          <w:szCs w:val="22"/>
        </w:rPr>
        <w:t xml:space="preserve"> will be paid for a longer period.</w:t>
      </w:r>
      <w:r w:rsidR="00297ACB">
        <w:rPr>
          <w:szCs w:val="22"/>
        </w:rPr>
        <w:t xml:space="preserve"> </w:t>
      </w:r>
      <w:r>
        <w:rPr>
          <w:szCs w:val="22"/>
        </w:rPr>
        <w:t>Continually improving</w:t>
      </w:r>
      <w:r w:rsidRPr="000B485C">
        <w:rPr>
          <w:szCs w:val="22"/>
        </w:rPr>
        <w:t xml:space="preserve"> mortality rates since the beginning of the 20th century</w:t>
      </w:r>
      <w:r>
        <w:rPr>
          <w:szCs w:val="22"/>
        </w:rPr>
        <w:t xml:space="preserve"> make </w:t>
      </w:r>
      <w:r w:rsidRPr="000B485C">
        <w:rPr>
          <w:szCs w:val="22"/>
        </w:rPr>
        <w:t>it easy to see the value in guaranteeing annuity rates.</w:t>
      </w:r>
      <w:r w:rsidR="00297ACB">
        <w:rPr>
          <w:szCs w:val="22"/>
        </w:rPr>
        <w:t xml:space="preserve"> </w:t>
      </w:r>
      <w:r>
        <w:rPr>
          <w:szCs w:val="22"/>
        </w:rPr>
        <w:t>One</w:t>
      </w:r>
      <w:r w:rsidRPr="000B485C">
        <w:rPr>
          <w:szCs w:val="22"/>
        </w:rPr>
        <w:t xml:space="preserve"> of the greatest fears among Americans as they near retirement age</w:t>
      </w:r>
      <w:r>
        <w:rPr>
          <w:szCs w:val="22"/>
        </w:rPr>
        <w:t>,</w:t>
      </w:r>
      <w:r w:rsidRPr="00AB0953">
        <w:rPr>
          <w:szCs w:val="22"/>
        </w:rPr>
        <w:t xml:space="preserve"> </w:t>
      </w:r>
      <w:r>
        <w:rPr>
          <w:szCs w:val="22"/>
        </w:rPr>
        <w:t>a</w:t>
      </w:r>
      <w:r w:rsidRPr="000B485C">
        <w:rPr>
          <w:szCs w:val="22"/>
        </w:rPr>
        <w:t>ccording to information from the U.S. Department of Health, Education and Welfare</w:t>
      </w:r>
      <w:r>
        <w:rPr>
          <w:szCs w:val="22"/>
        </w:rPr>
        <w:t>, is the f</w:t>
      </w:r>
      <w:r w:rsidRPr="000B485C">
        <w:rPr>
          <w:szCs w:val="22"/>
        </w:rPr>
        <w:t>ear of outliving their money.</w:t>
      </w:r>
      <w:r w:rsidR="00297ACB">
        <w:rPr>
          <w:szCs w:val="22"/>
        </w:rPr>
        <w:t xml:space="preserve"> </w:t>
      </w:r>
      <w:r w:rsidR="00A1607D">
        <w:rPr>
          <w:szCs w:val="22"/>
        </w:rPr>
        <w:t>By funding an IRA w</w:t>
      </w:r>
      <w:r>
        <w:rPr>
          <w:szCs w:val="22"/>
        </w:rPr>
        <w:t>ith an annuity, that fear may be put to rest.</w:t>
      </w:r>
    </w:p>
    <w:p w14:paraId="2B3AF249" w14:textId="77777777" w:rsidR="0022116A" w:rsidRDefault="0022116A" w:rsidP="0022116A">
      <w:pPr>
        <w:pStyle w:val="Heading2"/>
      </w:pPr>
      <w:bookmarkStart w:id="120" w:name="_Toc404357201"/>
      <w:r>
        <w:t>Variable Annuity Suitability Requirements</w:t>
      </w:r>
      <w:bookmarkEnd w:id="120"/>
      <w:r>
        <w:t xml:space="preserve"> </w:t>
      </w:r>
    </w:p>
    <w:p w14:paraId="0F6DADEB" w14:textId="77777777" w:rsidR="0022116A" w:rsidRDefault="0022116A" w:rsidP="00284F2F">
      <w:r>
        <w:t xml:space="preserve">When recommending the purchase or exchange of a deferred variable annuity to a customer, FINRA rules require that the recommendation be suitable. </w:t>
      </w:r>
      <w:r w:rsidR="00284F2F">
        <w:t>That suitability requirement</w:t>
      </w:r>
      <w:r w:rsidR="00A95039">
        <w:fldChar w:fldCharType="begin"/>
      </w:r>
      <w:r w:rsidR="00293611">
        <w:instrText xml:space="preserve"> XE "</w:instrText>
      </w:r>
      <w:r w:rsidR="00293611" w:rsidRPr="00CD56BD">
        <w:instrText>suitability requirement</w:instrText>
      </w:r>
      <w:r w:rsidR="00293611">
        <w:instrText xml:space="preserve">" </w:instrText>
      </w:r>
      <w:r w:rsidR="00A95039">
        <w:fldChar w:fldCharType="end"/>
      </w:r>
      <w:r w:rsidR="00284F2F">
        <w:t xml:space="preserve"> also applies when such variable annuity purchase or exchange is recommended in connection with an IRA. </w:t>
      </w:r>
      <w:r>
        <w:t xml:space="preserve">Accordingly, </w:t>
      </w:r>
      <w:r w:rsidR="00284F2F">
        <w:t xml:space="preserve">when making a variable annuity recommendation </w:t>
      </w:r>
      <w:r>
        <w:t>a registered representative must:</w:t>
      </w:r>
    </w:p>
    <w:p w14:paraId="7DB5CA36" w14:textId="77777777" w:rsidR="0022116A" w:rsidRDefault="0022116A" w:rsidP="007A5E54">
      <w:pPr>
        <w:pStyle w:val="BodyText2"/>
        <w:numPr>
          <w:ilvl w:val="0"/>
          <w:numId w:val="143"/>
        </w:numPr>
        <w:overflowPunct w:val="0"/>
        <w:autoSpaceDE w:val="0"/>
        <w:autoSpaceDN w:val="0"/>
        <w:adjustRightInd w:val="0"/>
        <w:spacing w:line="240" w:lineRule="auto"/>
        <w:ind w:right="720"/>
        <w:contextualSpacing/>
        <w:textAlignment w:val="baseline"/>
      </w:pPr>
      <w:r>
        <w:t xml:space="preserve">Make a reasonable effort to </w:t>
      </w:r>
      <w:r>
        <w:rPr>
          <w:i/>
        </w:rPr>
        <w:t>obtain</w:t>
      </w:r>
      <w:r>
        <w:t xml:space="preserve"> and </w:t>
      </w:r>
      <w:r>
        <w:rPr>
          <w:i/>
        </w:rPr>
        <w:t>consider</w:t>
      </w:r>
      <w:r>
        <w:t xml:space="preserve"> certain types of information specific to the customer, including the customer’s –</w:t>
      </w:r>
    </w:p>
    <w:p w14:paraId="421B8283"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Age,</w:t>
      </w:r>
    </w:p>
    <w:p w14:paraId="346AB009"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Income,</w:t>
      </w:r>
    </w:p>
    <w:p w14:paraId="7BF017F1"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Financial situation and needs,</w:t>
      </w:r>
    </w:p>
    <w:p w14:paraId="44D36E1D"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Investment experience and objectives,</w:t>
      </w:r>
    </w:p>
    <w:p w14:paraId="7E342839"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Intended use of the deferred variable annuity,</w:t>
      </w:r>
    </w:p>
    <w:p w14:paraId="31F7FCCF"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Investment time horizon,</w:t>
      </w:r>
    </w:p>
    <w:p w14:paraId="11AA4C78"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Existing assets,</w:t>
      </w:r>
    </w:p>
    <w:p w14:paraId="4D446512"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Liquidity needs,</w:t>
      </w:r>
    </w:p>
    <w:p w14:paraId="53E63655"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Liquid net worth,</w:t>
      </w:r>
    </w:p>
    <w:p w14:paraId="41BF5011"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Risk tolerance, and</w:t>
      </w:r>
    </w:p>
    <w:p w14:paraId="636F794F" w14:textId="77777777" w:rsidR="0022116A" w:rsidRDefault="0022116A" w:rsidP="007A5E54">
      <w:pPr>
        <w:pStyle w:val="BodyText2"/>
        <w:numPr>
          <w:ilvl w:val="1"/>
          <w:numId w:val="143"/>
        </w:numPr>
        <w:overflowPunct w:val="0"/>
        <w:autoSpaceDE w:val="0"/>
        <w:autoSpaceDN w:val="0"/>
        <w:adjustRightInd w:val="0"/>
        <w:spacing w:line="240" w:lineRule="auto"/>
        <w:contextualSpacing/>
        <w:textAlignment w:val="baseline"/>
      </w:pPr>
      <w:r>
        <w:t>Tax status;</w:t>
      </w:r>
    </w:p>
    <w:p w14:paraId="468DC36F" w14:textId="77777777" w:rsidR="0022116A" w:rsidRDefault="0022116A" w:rsidP="007A5E54">
      <w:pPr>
        <w:pStyle w:val="BodyText2"/>
        <w:numPr>
          <w:ilvl w:val="0"/>
          <w:numId w:val="143"/>
        </w:numPr>
        <w:overflowPunct w:val="0"/>
        <w:autoSpaceDE w:val="0"/>
        <w:autoSpaceDN w:val="0"/>
        <w:adjustRightInd w:val="0"/>
        <w:spacing w:line="240" w:lineRule="auto"/>
        <w:ind w:right="720"/>
        <w:contextualSpacing/>
        <w:textAlignment w:val="baseline"/>
      </w:pPr>
      <w:r>
        <w:t>Have a reasonable basis for believing the customer has been informed of the material features of a deferred variable annuity, such as its –</w:t>
      </w:r>
    </w:p>
    <w:p w14:paraId="478F5D34"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Surrender charge,</w:t>
      </w:r>
    </w:p>
    <w:p w14:paraId="61F77299"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Potential tax penalty,</w:t>
      </w:r>
    </w:p>
    <w:p w14:paraId="6CF44832"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Various fees and costs, and</w:t>
      </w:r>
    </w:p>
    <w:p w14:paraId="7282A697"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lastRenderedPageBreak/>
        <w:t>Market risk;</w:t>
      </w:r>
    </w:p>
    <w:p w14:paraId="193DD596" w14:textId="77777777" w:rsidR="0022116A" w:rsidRDefault="0022116A" w:rsidP="007A5E54">
      <w:pPr>
        <w:pStyle w:val="BodyText2"/>
        <w:numPr>
          <w:ilvl w:val="0"/>
          <w:numId w:val="143"/>
        </w:numPr>
        <w:overflowPunct w:val="0"/>
        <w:autoSpaceDE w:val="0"/>
        <w:autoSpaceDN w:val="0"/>
        <w:adjustRightInd w:val="0"/>
        <w:spacing w:line="240" w:lineRule="auto"/>
        <w:ind w:right="720"/>
        <w:contextualSpacing/>
        <w:textAlignment w:val="baseline"/>
      </w:pPr>
      <w:r>
        <w:t>Have a reasonable basis to believe that the customer would benefit from certain deferred variable annuity features, such as –</w:t>
      </w:r>
    </w:p>
    <w:p w14:paraId="7437902A"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Tax-deferred growth,</w:t>
      </w:r>
    </w:p>
    <w:p w14:paraId="12A28FB3"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Annuitization benefits,</w:t>
      </w:r>
    </w:p>
    <w:p w14:paraId="016F83FF"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Death benefits, or</w:t>
      </w:r>
    </w:p>
    <w:p w14:paraId="2E27896E"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Living benefits;</w:t>
      </w:r>
    </w:p>
    <w:p w14:paraId="3DD018DA" w14:textId="77777777" w:rsidR="0022116A" w:rsidRDefault="0022116A" w:rsidP="007A5E54">
      <w:pPr>
        <w:pStyle w:val="BodyText2"/>
        <w:numPr>
          <w:ilvl w:val="0"/>
          <w:numId w:val="143"/>
        </w:numPr>
        <w:overflowPunct w:val="0"/>
        <w:autoSpaceDE w:val="0"/>
        <w:autoSpaceDN w:val="0"/>
        <w:adjustRightInd w:val="0"/>
        <w:spacing w:line="240" w:lineRule="auto"/>
        <w:ind w:right="720"/>
        <w:contextualSpacing/>
        <w:textAlignment w:val="baseline"/>
      </w:pPr>
      <w:r>
        <w:t>Make a customer suitability determination with respect to –</w:t>
      </w:r>
    </w:p>
    <w:p w14:paraId="73564B01"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Investment in the deferred variable annuity,</w:t>
      </w:r>
    </w:p>
    <w:p w14:paraId="50886BC9"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Investments in the underlying subaccounts at the time of purchase or exchange, and</w:t>
      </w:r>
    </w:p>
    <w:p w14:paraId="1C9BD2C4"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All riders and other annuity product enhancements and features; and</w:t>
      </w:r>
    </w:p>
    <w:p w14:paraId="20F16D64" w14:textId="77777777" w:rsidR="0022116A" w:rsidRDefault="0022116A" w:rsidP="007A5E54">
      <w:pPr>
        <w:pStyle w:val="BodyText2"/>
        <w:numPr>
          <w:ilvl w:val="0"/>
          <w:numId w:val="143"/>
        </w:numPr>
        <w:overflowPunct w:val="0"/>
        <w:autoSpaceDE w:val="0"/>
        <w:autoSpaceDN w:val="0"/>
        <w:adjustRightInd w:val="0"/>
        <w:spacing w:line="240" w:lineRule="auto"/>
        <w:ind w:right="720"/>
        <w:contextualSpacing/>
        <w:textAlignment w:val="baseline"/>
      </w:pPr>
      <w:r>
        <w:t>In connection with any deferred annuity exchange that such exchange transaction is suitable for the customer, considering, among other factors, whether the customer –</w:t>
      </w:r>
    </w:p>
    <w:p w14:paraId="68FE540A"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Would incur a surrender charge,</w:t>
      </w:r>
    </w:p>
    <w:p w14:paraId="7FEB051B"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Would be subject to a new surrender period,</w:t>
      </w:r>
    </w:p>
    <w:p w14:paraId="762FD836"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Would lose existing benefits,</w:t>
      </w:r>
    </w:p>
    <w:p w14:paraId="2486961E" w14:textId="77777777" w:rsidR="0022116A" w:rsidRDefault="0022116A" w:rsidP="007A5E54">
      <w:pPr>
        <w:pStyle w:val="BodyText2"/>
        <w:numPr>
          <w:ilvl w:val="1"/>
          <w:numId w:val="143"/>
        </w:numPr>
        <w:overflowPunct w:val="0"/>
        <w:autoSpaceDE w:val="0"/>
        <w:autoSpaceDN w:val="0"/>
        <w:adjustRightInd w:val="0"/>
        <w:spacing w:line="240" w:lineRule="auto"/>
        <w:ind w:right="720"/>
        <w:contextualSpacing/>
        <w:textAlignment w:val="baseline"/>
      </w:pPr>
      <w:r>
        <w:t>Would be subject to increased fees or charges, and</w:t>
      </w:r>
    </w:p>
    <w:p w14:paraId="5A39B22C" w14:textId="77777777" w:rsidR="005D116F" w:rsidRDefault="0022116A">
      <w:pPr>
        <w:pStyle w:val="BodyText2"/>
        <w:numPr>
          <w:ilvl w:val="1"/>
          <w:numId w:val="143"/>
        </w:numPr>
        <w:overflowPunct w:val="0"/>
        <w:autoSpaceDE w:val="0"/>
        <w:autoSpaceDN w:val="0"/>
        <w:adjustRightInd w:val="0"/>
        <w:spacing w:line="240" w:lineRule="auto"/>
        <w:ind w:right="720"/>
        <w:textAlignment w:val="baseline"/>
      </w:pPr>
      <w:r>
        <w:t>Has had another exchange within the preceding 36 months.</w:t>
      </w:r>
    </w:p>
    <w:p w14:paraId="72752171" w14:textId="77777777" w:rsidR="005D116F" w:rsidRDefault="00D63ADA">
      <w:pPr>
        <w:pStyle w:val="BodyText2"/>
        <w:overflowPunct w:val="0"/>
        <w:autoSpaceDE w:val="0"/>
        <w:autoSpaceDN w:val="0"/>
        <w:adjustRightInd w:val="0"/>
        <w:spacing w:before="120" w:line="240" w:lineRule="auto"/>
        <w:ind w:right="720"/>
        <w:textAlignment w:val="baseline"/>
      </w:pPr>
      <w:r>
        <w:t>Additionally, many states have adopted the national association of insurance commissioner’s (NAIC) model act requiring that fixed annuity recommendations also meet suitability requirements.</w:t>
      </w:r>
    </w:p>
    <w:p w14:paraId="1290D5A1" w14:textId="77777777" w:rsidR="00A1607D" w:rsidRPr="00A81EB3" w:rsidRDefault="00A1607D" w:rsidP="008E4860">
      <w:pPr>
        <w:pStyle w:val="Heading2"/>
      </w:pPr>
      <w:bookmarkStart w:id="121" w:name="_Toc48025267"/>
      <w:bookmarkStart w:id="122" w:name="_Toc404357202"/>
      <w:r w:rsidRPr="00A81EB3">
        <w:t>Summary</w:t>
      </w:r>
      <w:bookmarkEnd w:id="121"/>
      <w:bookmarkEnd w:id="122"/>
    </w:p>
    <w:p w14:paraId="5960326A" w14:textId="77777777" w:rsidR="00454C19" w:rsidRDefault="007615CE" w:rsidP="00825E0B">
      <w:pPr>
        <w:rPr>
          <w:szCs w:val="22"/>
        </w:rPr>
      </w:pPr>
      <w:r>
        <w:rPr>
          <w:szCs w:val="22"/>
        </w:rPr>
        <w:t>Individual retirement</w:t>
      </w:r>
      <w:r w:rsidR="007820CB">
        <w:rPr>
          <w:szCs w:val="22"/>
        </w:rPr>
        <w:t xml:space="preserve"> accounts—both traditional and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7820CB">
        <w:rPr>
          <w:szCs w:val="22"/>
        </w:rPr>
        <w:t>—may use either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sidR="007820CB">
        <w:rPr>
          <w:szCs w:val="22"/>
        </w:rPr>
        <w:t xml:space="preserve"> or custodial accounts as funding vehicles.</w:t>
      </w:r>
      <w:r w:rsidR="00297ACB">
        <w:rPr>
          <w:szCs w:val="22"/>
        </w:rPr>
        <w:t xml:space="preserve"> </w:t>
      </w:r>
      <w:r w:rsidR="007820CB">
        <w:rPr>
          <w:szCs w:val="22"/>
        </w:rPr>
        <w:t>IRA funds contributed to a custodial account may be placed in a broad range of investments, including mutual funds, stocks, bonds, savings accounts, CDs and certain gold and silver coins.</w:t>
      </w:r>
      <w:r w:rsidR="00297ACB">
        <w:rPr>
          <w:szCs w:val="22"/>
        </w:rPr>
        <w:t xml:space="preserve"> </w:t>
      </w:r>
      <w:r w:rsidR="007820CB">
        <w:rPr>
          <w:szCs w:val="22"/>
        </w:rPr>
        <w:t>IRA owners may not invest their IRA funds in life insurance or certain collectibles, such as antiques or art.</w:t>
      </w:r>
    </w:p>
    <w:p w14:paraId="5A7AFDCC" w14:textId="77777777" w:rsidR="007820CB" w:rsidRDefault="007820CB" w:rsidP="008E4860">
      <w:pPr>
        <w:rPr>
          <w:szCs w:val="22"/>
        </w:rPr>
      </w:pPr>
      <w:r>
        <w:rPr>
          <w:szCs w:val="22"/>
        </w:rPr>
        <w:t>Although commercial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Pr>
          <w:szCs w:val="22"/>
        </w:rPr>
        <w:t xml:space="preserve"> are available to fund IRAs, they should generally not be </w:t>
      </w:r>
      <w:r w:rsidR="00D63ADA">
        <w:t>used as a funding vehicle</w:t>
      </w:r>
      <w:r>
        <w:rPr>
          <w:szCs w:val="22"/>
        </w:rPr>
        <w:t xml:space="preserve"> unless their non-tax benefits are desired.</w:t>
      </w:r>
    </w:p>
    <w:p w14:paraId="3B676D87" w14:textId="77777777" w:rsidR="00A871CF" w:rsidRDefault="00A871CF" w:rsidP="00A871CF">
      <w:pPr>
        <w:pStyle w:val="Heading2"/>
      </w:pPr>
      <w:bookmarkStart w:id="123" w:name="_Toc404357203"/>
      <w:r>
        <w:t>Review Quiz #5</w:t>
      </w:r>
      <w:bookmarkEnd w:id="123"/>
    </w:p>
    <w:p w14:paraId="09E19589" w14:textId="77777777" w:rsidR="007B712D" w:rsidRDefault="007B712D" w:rsidP="007B712D">
      <w:pPr>
        <w:ind w:left="360" w:hanging="360"/>
      </w:pPr>
      <w:r>
        <w:t>1.   Which of the following is specifically prohibited as an individual retirement account funding vehicle?</w:t>
      </w:r>
    </w:p>
    <w:p w14:paraId="2E3252CE" w14:textId="77777777" w:rsidR="007B712D" w:rsidRDefault="007B712D" w:rsidP="007A5E54">
      <w:pPr>
        <w:numPr>
          <w:ilvl w:val="0"/>
          <w:numId w:val="78"/>
        </w:numPr>
        <w:spacing w:before="120"/>
      </w:pPr>
      <w:r>
        <w:t>Gold coins</w:t>
      </w:r>
    </w:p>
    <w:p w14:paraId="5B9F7EDA" w14:textId="77777777" w:rsidR="007B712D" w:rsidRDefault="007B712D" w:rsidP="007A5E54">
      <w:pPr>
        <w:numPr>
          <w:ilvl w:val="0"/>
          <w:numId w:val="78"/>
        </w:numPr>
        <w:spacing w:before="120"/>
      </w:pPr>
      <w:r>
        <w:t>Life insurance</w:t>
      </w:r>
    </w:p>
    <w:p w14:paraId="10D25F1E" w14:textId="77777777" w:rsidR="007B712D" w:rsidRDefault="007B712D" w:rsidP="007A5E54">
      <w:pPr>
        <w:numPr>
          <w:ilvl w:val="0"/>
          <w:numId w:val="78"/>
        </w:numPr>
        <w:spacing w:before="120"/>
      </w:pPr>
      <w:r>
        <w:t>Preferred stock shares</w:t>
      </w:r>
    </w:p>
    <w:p w14:paraId="7197C748" w14:textId="77777777" w:rsidR="007B712D" w:rsidRDefault="007B712D" w:rsidP="007A5E54">
      <w:pPr>
        <w:numPr>
          <w:ilvl w:val="0"/>
          <w:numId w:val="78"/>
        </w:numPr>
        <w:spacing w:before="120"/>
      </w:pPr>
      <w:r>
        <w:t>Passbook savings accounts</w:t>
      </w:r>
    </w:p>
    <w:p w14:paraId="66C4F6A3" w14:textId="77777777" w:rsidR="007B712D" w:rsidRDefault="007B712D" w:rsidP="007B712D">
      <w:pPr>
        <w:ind w:left="360" w:hanging="360"/>
      </w:pPr>
      <w:r>
        <w:t>2.   Susan, age 44, funded her individual retirement account with a deferred annuity. During a period of unemployment, she pledged the annuity funding her IRA as collateral for a loan at her local bank. Which of the following statements concerning the loan transaction is correct?</w:t>
      </w:r>
    </w:p>
    <w:p w14:paraId="2D36B132" w14:textId="77777777" w:rsidR="007B712D" w:rsidRDefault="007B712D" w:rsidP="007A5E54">
      <w:pPr>
        <w:numPr>
          <w:ilvl w:val="0"/>
          <w:numId w:val="80"/>
        </w:numPr>
        <w:spacing w:before="120"/>
      </w:pPr>
      <w:r>
        <w:t>The amount borrowed is taxable at long-term capital gains</w:t>
      </w:r>
      <w:r w:rsidR="00A95039">
        <w:fldChar w:fldCharType="begin"/>
      </w:r>
      <w:r w:rsidR="00293611">
        <w:instrText xml:space="preserve"> XE "</w:instrText>
      </w:r>
      <w:r w:rsidR="00293611" w:rsidRPr="00CD56BD">
        <w:rPr>
          <w:szCs w:val="22"/>
        </w:rPr>
        <w:instrText>capital gains</w:instrText>
      </w:r>
      <w:r w:rsidR="00293611">
        <w:instrText xml:space="preserve">" </w:instrText>
      </w:r>
      <w:r w:rsidR="00A95039">
        <w:fldChar w:fldCharType="end"/>
      </w:r>
      <w:r>
        <w:t xml:space="preserve"> rates</w:t>
      </w:r>
    </w:p>
    <w:p w14:paraId="263886CF" w14:textId="77777777" w:rsidR="007B712D" w:rsidRDefault="007B712D" w:rsidP="007A5E54">
      <w:pPr>
        <w:numPr>
          <w:ilvl w:val="0"/>
          <w:numId w:val="80"/>
        </w:numPr>
        <w:spacing w:before="120"/>
      </w:pPr>
      <w:r>
        <w:lastRenderedPageBreak/>
        <w:t>Surrender charges are imposed by the insurer for loans collateralized by an annuity</w:t>
      </w:r>
    </w:p>
    <w:p w14:paraId="61987D27" w14:textId="77777777" w:rsidR="007B712D" w:rsidRDefault="007B712D" w:rsidP="007A5E54">
      <w:pPr>
        <w:numPr>
          <w:ilvl w:val="0"/>
          <w:numId w:val="80"/>
        </w:numPr>
        <w:spacing w:before="120"/>
      </w:pPr>
      <w:r>
        <w:t>The plan would be disqualified, causing the funds to be immediately subject to income taxation</w:t>
      </w:r>
    </w:p>
    <w:p w14:paraId="320625B9" w14:textId="77777777" w:rsidR="007B712D" w:rsidRDefault="007B712D" w:rsidP="007A5E54">
      <w:pPr>
        <w:numPr>
          <w:ilvl w:val="0"/>
          <w:numId w:val="80"/>
        </w:numPr>
        <w:spacing w:before="120"/>
      </w:pPr>
      <w:r>
        <w:t>The amount that may be borrowed is limited to no more than 50% of the account value at the time of the loan</w:t>
      </w:r>
    </w:p>
    <w:p w14:paraId="30E1FAE8" w14:textId="77777777" w:rsidR="007B712D" w:rsidRDefault="007B712D" w:rsidP="007B712D">
      <w:pPr>
        <w:ind w:left="360" w:hanging="360"/>
      </w:pPr>
      <w:r>
        <w:t>3.   Pat wants to use a deferred variable annuity as the investment vehicle to fund her traditional individual retirement account. In order for such a choice to be suitable, which of the following benefits should she be seeking?</w:t>
      </w:r>
    </w:p>
    <w:p w14:paraId="686361CF" w14:textId="77777777" w:rsidR="007B712D" w:rsidRDefault="007B712D" w:rsidP="007A5E54">
      <w:pPr>
        <w:numPr>
          <w:ilvl w:val="0"/>
          <w:numId w:val="82"/>
        </w:numPr>
        <w:spacing w:before="120"/>
      </w:pPr>
      <w:r>
        <w:t>Tax-deductibility of contributions</w:t>
      </w:r>
    </w:p>
    <w:p w14:paraId="47AC1FA2" w14:textId="77777777" w:rsidR="007B712D" w:rsidRDefault="007B712D" w:rsidP="007A5E54">
      <w:pPr>
        <w:numPr>
          <w:ilvl w:val="0"/>
          <w:numId w:val="82"/>
        </w:numPr>
        <w:spacing w:before="120"/>
      </w:pPr>
      <w:r>
        <w:t>Tax-deferral of cash values until distributed</w:t>
      </w:r>
    </w:p>
    <w:p w14:paraId="31467719" w14:textId="77777777" w:rsidR="007B712D" w:rsidRDefault="007B712D" w:rsidP="007A5E54">
      <w:pPr>
        <w:numPr>
          <w:ilvl w:val="0"/>
          <w:numId w:val="82"/>
        </w:numPr>
        <w:spacing w:before="120"/>
      </w:pPr>
      <w:r>
        <w:t>FIFO tax treatment</w:t>
      </w:r>
      <w:r w:rsidR="00A95039">
        <w:fldChar w:fldCharType="begin"/>
      </w:r>
      <w:r w:rsidR="00293611">
        <w:instrText xml:space="preserve"> XE "</w:instrText>
      </w:r>
      <w:r w:rsidR="00293611" w:rsidRPr="00CD56BD">
        <w:rPr>
          <w:szCs w:val="22"/>
        </w:rPr>
        <w:instrText>FIFO tax treatment</w:instrText>
      </w:r>
      <w:r w:rsidR="00293611">
        <w:instrText xml:space="preserve">" </w:instrText>
      </w:r>
      <w:r w:rsidR="00A95039">
        <w:fldChar w:fldCharType="end"/>
      </w:r>
      <w:r>
        <w:t xml:space="preserve"> of withdrawals</w:t>
      </w:r>
    </w:p>
    <w:p w14:paraId="7753CD79" w14:textId="77777777" w:rsidR="007B712D" w:rsidRDefault="007B712D" w:rsidP="007A5E54">
      <w:pPr>
        <w:numPr>
          <w:ilvl w:val="0"/>
          <w:numId w:val="82"/>
        </w:numPr>
        <w:spacing w:before="120"/>
      </w:pPr>
      <w:r>
        <w:t>The non-tax benefits of the annuity</w:t>
      </w:r>
    </w:p>
    <w:p w14:paraId="64FEA187" w14:textId="77777777" w:rsidR="008E4860" w:rsidRDefault="00E9618E" w:rsidP="00825E0B">
      <w:pPr>
        <w:rPr>
          <w:b/>
          <w:szCs w:val="26"/>
        </w:rPr>
        <w:sectPr w:rsidR="008E4860" w:rsidSect="00297ACB">
          <w:headerReference w:type="default" r:id="rId15"/>
          <w:footerReference w:type="first" r:id="rId16"/>
          <w:pgSz w:w="12240" w:h="15840"/>
          <w:pgMar w:top="2160" w:right="1440" w:bottom="1440" w:left="1800" w:header="720" w:footer="720" w:gutter="0"/>
          <w:cols w:space="720"/>
          <w:titlePg/>
          <w:docGrid w:linePitch="299"/>
        </w:sectPr>
      </w:pPr>
      <w:r>
        <w:rPr>
          <w:b/>
          <w:szCs w:val="26"/>
        </w:rPr>
        <w:br w:type="page"/>
      </w:r>
    </w:p>
    <w:p w14:paraId="17879A94" w14:textId="77777777" w:rsidR="00A81EB3" w:rsidRPr="000B485C" w:rsidRDefault="005A4CD2" w:rsidP="00891F6C">
      <w:pPr>
        <w:pStyle w:val="Heading1"/>
      </w:pPr>
      <w:bookmarkStart w:id="124" w:name="_Toc48025268"/>
      <w:bookmarkStart w:id="125" w:name="_Toc404357204"/>
      <w:r>
        <w:lastRenderedPageBreak/>
        <w:t>Chapter</w:t>
      </w:r>
      <w:r w:rsidR="00A81EB3">
        <w:t xml:space="preserve"> </w:t>
      </w:r>
      <w:r w:rsidR="0077192A">
        <w:t>4</w:t>
      </w:r>
      <w:r w:rsidR="00891F6C">
        <w:br/>
      </w:r>
      <w:r w:rsidR="00A81EB3">
        <w:t>Education IRAs (Coverdell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r w:rsidR="00A81EB3">
        <w:t>)</w:t>
      </w:r>
      <w:bookmarkEnd w:id="124"/>
      <w:bookmarkEnd w:id="125"/>
    </w:p>
    <w:p w14:paraId="4841CDC5" w14:textId="77777777" w:rsidR="00A81EB3" w:rsidRPr="00352D2D" w:rsidRDefault="00A81EB3" w:rsidP="00891F6C">
      <w:pPr>
        <w:pStyle w:val="Heading2"/>
      </w:pPr>
      <w:bookmarkStart w:id="126" w:name="_Toc48025269"/>
      <w:bookmarkStart w:id="127" w:name="_Toc404357205"/>
      <w:r w:rsidRPr="00352D2D">
        <w:t>Important Lesson Points</w:t>
      </w:r>
      <w:bookmarkEnd w:id="126"/>
      <w:bookmarkEnd w:id="127"/>
    </w:p>
    <w:p w14:paraId="1F7FECA3" w14:textId="77777777" w:rsidR="00314EB8" w:rsidRPr="00891F6C" w:rsidRDefault="00314EB8" w:rsidP="00891F6C">
      <w:pPr>
        <w:rPr>
          <w:szCs w:val="22"/>
        </w:rPr>
      </w:pPr>
      <w:r w:rsidRPr="00891F6C">
        <w:rPr>
          <w:szCs w:val="22"/>
        </w:rPr>
        <w:t>The important points addressed in this lesson are:</w:t>
      </w:r>
    </w:p>
    <w:p w14:paraId="09A5FC8A" w14:textId="77777777" w:rsidR="005C7876" w:rsidRPr="009D7DA1" w:rsidRDefault="0059758F" w:rsidP="007A5E54">
      <w:pPr>
        <w:numPr>
          <w:ilvl w:val="0"/>
          <w:numId w:val="19"/>
        </w:numPr>
        <w:contextualSpacing/>
      </w:pPr>
      <w:r w:rsidRPr="009D7DA1">
        <w:t>Education I</w:t>
      </w:r>
      <w:r w:rsidR="00314EB8" w:rsidRPr="009D7DA1">
        <w:t>RAs</w:t>
      </w:r>
      <w:r w:rsidRPr="009D7DA1">
        <w:t>, renamed 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r w:rsidRPr="009D7DA1">
        <w:t xml:space="preserve"> (ESAs),</w:t>
      </w:r>
      <w:r w:rsidR="00314EB8" w:rsidRPr="009D7DA1">
        <w:t xml:space="preserve"> </w:t>
      </w:r>
      <w:r w:rsidRPr="009D7DA1">
        <w:t>are designed to encourage saving to pay education expenses by offering tax deferral on earnings and possible tax-free distributions</w:t>
      </w:r>
    </w:p>
    <w:p w14:paraId="3FD5ED02" w14:textId="77777777" w:rsidR="0059758F" w:rsidRPr="009D7DA1" w:rsidRDefault="0059758F" w:rsidP="007A5E54">
      <w:pPr>
        <w:numPr>
          <w:ilvl w:val="0"/>
          <w:numId w:val="19"/>
        </w:numPr>
        <w:contextualSpacing/>
      </w:pPr>
      <w:r w:rsidRPr="009D7DA1">
        <w:t>Eligibility to make ESA contributions is limited to individual tax filers with modified adjusted gross incomes less than $110,000 and joint tax filers with modified adjusted gross incomes of less than $220,000</w:t>
      </w:r>
    </w:p>
    <w:p w14:paraId="0CF24C62" w14:textId="77777777" w:rsidR="0059758F" w:rsidRPr="009D7DA1" w:rsidRDefault="0059758F" w:rsidP="007A5E54">
      <w:pPr>
        <w:numPr>
          <w:ilvl w:val="0"/>
          <w:numId w:val="19"/>
        </w:numPr>
        <w:contextualSpacing/>
      </w:pPr>
      <w:r w:rsidRPr="009D7DA1">
        <w:t>ESA contributions are non-deductible and limited to no more than $2,000 per year for any eligible designated beneficiary</w:t>
      </w:r>
    </w:p>
    <w:p w14:paraId="4668F93C" w14:textId="77777777" w:rsidR="0059758F" w:rsidRPr="009D7DA1" w:rsidRDefault="0059758F" w:rsidP="007A5E54">
      <w:pPr>
        <w:numPr>
          <w:ilvl w:val="0"/>
          <w:numId w:val="19"/>
        </w:numPr>
        <w:contextualSpacing/>
      </w:pPr>
      <w:r w:rsidRPr="009D7DA1">
        <w:t>Eligible designated beneficiaries are children age 18 or younger or special needs beneficiaries at any age</w:t>
      </w:r>
    </w:p>
    <w:p w14:paraId="442E3E06" w14:textId="77777777" w:rsidR="00DA755F" w:rsidRPr="009D7DA1" w:rsidRDefault="00DA755F" w:rsidP="007A5E54">
      <w:pPr>
        <w:numPr>
          <w:ilvl w:val="0"/>
          <w:numId w:val="19"/>
        </w:numPr>
        <w:contextualSpacing/>
      </w:pPr>
      <w:r w:rsidRPr="009D7DA1">
        <w:t>Contributions to an ESA grow tax deferred, and distributions from an ESA may be received tax free when used to pay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p>
    <w:p w14:paraId="3D0E541B" w14:textId="77777777" w:rsidR="00DA755F" w:rsidRDefault="00DA755F" w:rsidP="007A5E54">
      <w:pPr>
        <w:numPr>
          <w:ilvl w:val="0"/>
          <w:numId w:val="19"/>
        </w:numPr>
        <w:contextualSpacing/>
      </w:pPr>
      <w:r w:rsidRPr="009D7DA1">
        <w:t>ESA funds may be rolled over to another qualifying beneficiary</w:t>
      </w:r>
    </w:p>
    <w:p w14:paraId="69BD672C" w14:textId="77777777" w:rsidR="007B712D" w:rsidRDefault="007B712D" w:rsidP="007B712D">
      <w:pPr>
        <w:pStyle w:val="Heading2"/>
        <w:keepLines w:val="0"/>
      </w:pPr>
      <w:bookmarkStart w:id="128" w:name="_Toc404357206"/>
      <w:r>
        <w:t>Chapter Learning Objectives</w:t>
      </w:r>
      <w:bookmarkEnd w:id="128"/>
    </w:p>
    <w:p w14:paraId="222BFB3F" w14:textId="77777777" w:rsidR="007B712D" w:rsidRDefault="007B712D" w:rsidP="007B712D">
      <w:r>
        <w:t xml:space="preserve">In this chapter we will look at the rules governing </w:t>
      </w:r>
      <w:r w:rsidR="0065646C">
        <w:t>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r w:rsidR="00B53CD9">
        <w:t xml:space="preserve"> (ESAs)</w:t>
      </w:r>
      <w:r>
        <w:t xml:space="preserve">. When </w:t>
      </w:r>
      <w:r w:rsidRPr="00702457">
        <w:t xml:space="preserve">you have completed this </w:t>
      </w:r>
      <w:r>
        <w:t>chapter</w:t>
      </w:r>
      <w:r w:rsidRPr="00702457">
        <w:t xml:space="preserve"> you should be able to</w:t>
      </w:r>
      <w:r>
        <w:t>:</w:t>
      </w:r>
    </w:p>
    <w:p w14:paraId="0C5267D2" w14:textId="77777777" w:rsidR="007B712D" w:rsidRDefault="007B712D" w:rsidP="007A5E54">
      <w:pPr>
        <w:numPr>
          <w:ilvl w:val="0"/>
          <w:numId w:val="84"/>
        </w:numPr>
        <w:contextualSpacing/>
      </w:pPr>
      <w:r>
        <w:t>Discuss</w:t>
      </w:r>
      <w:r w:rsidR="00B53CD9">
        <w:t xml:space="preserve"> the tax treatment of ESA earnings and distributions;</w:t>
      </w:r>
    </w:p>
    <w:p w14:paraId="5065A526" w14:textId="77777777" w:rsidR="00B53CD9" w:rsidRDefault="00B53CD9" w:rsidP="007A5E54">
      <w:pPr>
        <w:numPr>
          <w:ilvl w:val="0"/>
          <w:numId w:val="84"/>
        </w:numPr>
        <w:contextualSpacing/>
      </w:pPr>
      <w:r>
        <w:t>Explain the eligibility requirements applicable to ESA contributors and beneficiaries;</w:t>
      </w:r>
    </w:p>
    <w:p w14:paraId="667D960B" w14:textId="77777777" w:rsidR="00B53CD9" w:rsidRDefault="00B53CD9" w:rsidP="007A5E54">
      <w:pPr>
        <w:numPr>
          <w:ilvl w:val="0"/>
          <w:numId w:val="84"/>
        </w:numPr>
        <w:contextualSpacing/>
      </w:pPr>
      <w:r>
        <w:t>Describe the ESA contribution limits</w:t>
      </w:r>
      <w:r w:rsidR="00A95039">
        <w:fldChar w:fldCharType="begin"/>
      </w:r>
      <w:r w:rsidR="00293611">
        <w:instrText xml:space="preserve"> XE "</w:instrText>
      </w:r>
      <w:r w:rsidR="00293611" w:rsidRPr="00CD56BD">
        <w:rPr>
          <w:szCs w:val="22"/>
        </w:rPr>
        <w:instrText>contribution limits</w:instrText>
      </w:r>
      <w:r w:rsidR="00293611">
        <w:instrText xml:space="preserve">" </w:instrText>
      </w:r>
      <w:r w:rsidR="00A95039">
        <w:fldChar w:fldCharType="end"/>
      </w:r>
      <w:r>
        <w:t>; and</w:t>
      </w:r>
    </w:p>
    <w:p w14:paraId="7AF20BC5" w14:textId="77777777" w:rsidR="00B53CD9" w:rsidRPr="009D7DA1" w:rsidRDefault="00B53CD9" w:rsidP="007A5E54">
      <w:pPr>
        <w:numPr>
          <w:ilvl w:val="0"/>
          <w:numId w:val="84"/>
        </w:numPr>
        <w:contextualSpacing/>
      </w:pPr>
      <w:r>
        <w:t>Discuss the rules governing ESA rollovers.</w:t>
      </w:r>
    </w:p>
    <w:p w14:paraId="32BA745C" w14:textId="77777777" w:rsidR="005C7876" w:rsidRPr="00A81EB3" w:rsidRDefault="005C7876" w:rsidP="00891F6C">
      <w:pPr>
        <w:pStyle w:val="Heading2"/>
      </w:pPr>
      <w:bookmarkStart w:id="129" w:name="_Toc48025270"/>
      <w:bookmarkStart w:id="130" w:name="_Toc404357207"/>
      <w:r w:rsidRPr="00A81EB3">
        <w:t>Definition &amp; Eligibility</w:t>
      </w:r>
      <w:bookmarkEnd w:id="129"/>
      <w:bookmarkEnd w:id="130"/>
    </w:p>
    <w:p w14:paraId="360EC790" w14:textId="77777777" w:rsidR="00434CE0" w:rsidRPr="000B485C" w:rsidRDefault="005C7876" w:rsidP="009D7DA1">
      <w:pPr>
        <w:rPr>
          <w:szCs w:val="22"/>
        </w:rPr>
      </w:pPr>
      <w:r>
        <w:rPr>
          <w:szCs w:val="22"/>
        </w:rPr>
        <w:t>An IRA</w:t>
      </w:r>
      <w:r w:rsidR="00434CE0" w:rsidRPr="000B485C">
        <w:rPr>
          <w:szCs w:val="22"/>
        </w:rPr>
        <w:t xml:space="preserve"> that isn’t really a retirement account at all</w:t>
      </w:r>
      <w:r>
        <w:rPr>
          <w:szCs w:val="22"/>
        </w:rPr>
        <w:t xml:space="preserve"> is one that was created</w:t>
      </w:r>
      <w:r w:rsidR="00434CE0" w:rsidRPr="000B485C">
        <w:rPr>
          <w:szCs w:val="22"/>
        </w:rPr>
        <w:t xml:space="preserve"> to </w:t>
      </w:r>
      <w:r>
        <w:rPr>
          <w:szCs w:val="22"/>
        </w:rPr>
        <w:t xml:space="preserve">enable individuals to </w:t>
      </w:r>
      <w:r w:rsidR="00434CE0" w:rsidRPr="000B485C">
        <w:rPr>
          <w:szCs w:val="22"/>
        </w:rPr>
        <w:t>pay education expenses.</w:t>
      </w:r>
      <w:r w:rsidR="00297ACB">
        <w:rPr>
          <w:szCs w:val="22"/>
        </w:rPr>
        <w:t xml:space="preserve"> </w:t>
      </w:r>
      <w:r>
        <w:rPr>
          <w:szCs w:val="22"/>
        </w:rPr>
        <w:t>Originally</w:t>
      </w:r>
      <w:r w:rsidR="00434CE0" w:rsidRPr="000B485C">
        <w:rPr>
          <w:szCs w:val="22"/>
        </w:rPr>
        <w:t xml:space="preserve"> called an Education IRA</w:t>
      </w:r>
      <w:r>
        <w:rPr>
          <w:szCs w:val="22"/>
        </w:rPr>
        <w:t>, it is now known as a Coverdell Education Savings Account</w:t>
      </w:r>
      <w:r w:rsidR="00A95039">
        <w:rPr>
          <w:szCs w:val="22"/>
        </w:rPr>
        <w:fldChar w:fldCharType="begin"/>
      </w:r>
      <w:r w:rsidR="00293611">
        <w:instrText xml:space="preserve"> XE "</w:instrText>
      </w:r>
      <w:r w:rsidR="00293611" w:rsidRPr="00CD56BD">
        <w:instrText>Coverdell Education Savings Account</w:instrText>
      </w:r>
      <w:r w:rsidR="00293611">
        <w:instrText xml:space="preserve">" </w:instrText>
      </w:r>
      <w:r w:rsidR="00A95039">
        <w:rPr>
          <w:szCs w:val="22"/>
        </w:rPr>
        <w:fldChar w:fldCharType="end"/>
      </w:r>
      <w:r>
        <w:rPr>
          <w:szCs w:val="22"/>
        </w:rPr>
        <w:t xml:space="preserve"> (ESA)</w:t>
      </w:r>
      <w:r w:rsidR="00434CE0" w:rsidRPr="000B485C">
        <w:rPr>
          <w:szCs w:val="22"/>
        </w:rPr>
        <w:t>.</w:t>
      </w:r>
    </w:p>
    <w:p w14:paraId="700AA67E" w14:textId="77777777" w:rsidR="00434CE0" w:rsidRPr="000B485C" w:rsidRDefault="00DA755F" w:rsidP="00825E0B">
      <w:pPr>
        <w:rPr>
          <w:szCs w:val="22"/>
        </w:rPr>
      </w:pPr>
      <w:r>
        <w:rPr>
          <w:szCs w:val="22"/>
        </w:rPr>
        <w:lastRenderedPageBreak/>
        <w:t>An</w:t>
      </w:r>
      <w:r w:rsidR="00434CE0" w:rsidRPr="000B485C">
        <w:rPr>
          <w:szCs w:val="22"/>
        </w:rPr>
        <w:t xml:space="preserve"> </w:t>
      </w:r>
      <w:r w:rsidR="005C7876">
        <w:rPr>
          <w:szCs w:val="22"/>
        </w:rPr>
        <w:t>ESA</w:t>
      </w:r>
      <w:r>
        <w:rPr>
          <w:szCs w:val="22"/>
        </w:rPr>
        <w:t xml:space="preserve"> is defined as a trust or custodial account</w:t>
      </w:r>
      <w:r w:rsidR="00A95039">
        <w:rPr>
          <w:szCs w:val="22"/>
        </w:rPr>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rPr>
          <w:szCs w:val="22"/>
        </w:rPr>
        <w:fldChar w:fldCharType="end"/>
      </w:r>
      <w:r w:rsidR="00434CE0" w:rsidRPr="000B485C">
        <w:rPr>
          <w:szCs w:val="22"/>
        </w:rPr>
        <w:t xml:space="preserve"> designed to enable the individual to save education funds on a tax-deferred basis and make tax-free withdrawals to pay for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00434CE0" w:rsidRPr="000B485C">
        <w:rPr>
          <w:szCs w:val="22"/>
        </w:rPr>
        <w:t>.</w:t>
      </w:r>
      <w:r w:rsidR="00297ACB">
        <w:rPr>
          <w:szCs w:val="22"/>
        </w:rPr>
        <w:t xml:space="preserve"> </w:t>
      </w:r>
      <w:r w:rsidR="00434CE0" w:rsidRPr="000B485C">
        <w:rPr>
          <w:szCs w:val="22"/>
        </w:rPr>
        <w:t xml:space="preserve">In </w:t>
      </w:r>
      <w:r w:rsidR="00A43FCD">
        <w:rPr>
          <w:szCs w:val="22"/>
        </w:rPr>
        <w:t>2002 and later</w:t>
      </w:r>
      <w:r w:rsidR="00434CE0" w:rsidRPr="000B485C">
        <w:rPr>
          <w:szCs w:val="22"/>
        </w:rPr>
        <w:t xml:space="preserve">, the amount that an individual can put into an </w:t>
      </w:r>
      <w:r w:rsidR="005C7876">
        <w:rPr>
          <w:szCs w:val="22"/>
        </w:rPr>
        <w:t>ESA</w:t>
      </w:r>
      <w:r w:rsidR="00434CE0" w:rsidRPr="000B485C">
        <w:rPr>
          <w:szCs w:val="22"/>
        </w:rPr>
        <w:t xml:space="preserve"> </w:t>
      </w:r>
      <w:r w:rsidR="00A43FCD">
        <w:rPr>
          <w:szCs w:val="22"/>
        </w:rPr>
        <w:t xml:space="preserve">each year </w:t>
      </w:r>
      <w:r w:rsidR="00434CE0" w:rsidRPr="000B485C">
        <w:rPr>
          <w:szCs w:val="22"/>
        </w:rPr>
        <w:t>is $</w:t>
      </w:r>
      <w:r w:rsidR="00A43FCD">
        <w:rPr>
          <w:szCs w:val="22"/>
        </w:rPr>
        <w:t>2,0</w:t>
      </w:r>
      <w:r w:rsidR="00434CE0" w:rsidRPr="000B485C">
        <w:rPr>
          <w:szCs w:val="22"/>
        </w:rPr>
        <w:t>00.</w:t>
      </w:r>
    </w:p>
    <w:p w14:paraId="63A21F0A" w14:textId="77777777" w:rsidR="00434CE0" w:rsidRPr="009D7DA1" w:rsidRDefault="00434CE0" w:rsidP="00825E0B">
      <w:pPr>
        <w:rPr>
          <w:i/>
          <w:szCs w:val="22"/>
        </w:rPr>
      </w:pPr>
      <w:r w:rsidRPr="000B485C">
        <w:rPr>
          <w:szCs w:val="22"/>
        </w:rPr>
        <w:t xml:space="preserve">Like most tax-advantaged programs that it has authorized, the Congress has prescribed certain eligibility requirements for the </w:t>
      </w:r>
      <w:r w:rsidR="005C7876">
        <w:rPr>
          <w:szCs w:val="22"/>
        </w:rPr>
        <w:t>ESA</w:t>
      </w:r>
      <w:r w:rsidRPr="000B485C">
        <w:rPr>
          <w:szCs w:val="22"/>
        </w:rPr>
        <w:t>.</w:t>
      </w:r>
      <w:r w:rsidR="00297ACB">
        <w:rPr>
          <w:szCs w:val="22"/>
        </w:rPr>
        <w:t xml:space="preserve"> </w:t>
      </w:r>
      <w:r w:rsidR="00A43FCD">
        <w:rPr>
          <w:szCs w:val="22"/>
        </w:rPr>
        <w:t>T</w:t>
      </w:r>
      <w:r w:rsidRPr="000B485C">
        <w:rPr>
          <w:szCs w:val="22"/>
        </w:rPr>
        <w:t xml:space="preserve">he maximum </w:t>
      </w:r>
      <w:r w:rsidR="00A43FCD">
        <w:rPr>
          <w:szCs w:val="22"/>
        </w:rPr>
        <w:t>modified AGI</w:t>
      </w:r>
      <w:r w:rsidRPr="000B485C">
        <w:rPr>
          <w:szCs w:val="22"/>
        </w:rPr>
        <w:t xml:space="preserve"> </w:t>
      </w:r>
      <w:r w:rsidR="00A43FCD">
        <w:rPr>
          <w:szCs w:val="22"/>
        </w:rPr>
        <w:t>that</w:t>
      </w:r>
      <w:r w:rsidRPr="000B485C">
        <w:rPr>
          <w:szCs w:val="22"/>
        </w:rPr>
        <w:t xml:space="preserve"> a joint tax filer can </w:t>
      </w:r>
      <w:r w:rsidR="00A43FCD">
        <w:rPr>
          <w:szCs w:val="22"/>
        </w:rPr>
        <w:t>have</w:t>
      </w:r>
      <w:r w:rsidRPr="000B485C">
        <w:rPr>
          <w:szCs w:val="22"/>
        </w:rPr>
        <w:t xml:space="preserve"> and still take full advantage of the </w:t>
      </w:r>
      <w:r w:rsidR="005C7876">
        <w:rPr>
          <w:szCs w:val="22"/>
        </w:rPr>
        <w:t>ESA</w:t>
      </w:r>
      <w:r w:rsidR="00A43FCD">
        <w:rPr>
          <w:szCs w:val="22"/>
        </w:rPr>
        <w:t xml:space="preserve"> is $190,000.</w:t>
      </w:r>
      <w:r w:rsidR="00D63ADA" w:rsidRPr="00D63ADA">
        <w:t xml:space="preserve"> </w:t>
      </w:r>
      <w:r w:rsidR="00D63ADA">
        <w:t>In order for a single tax filer to take full advantage of an ESA, the individual’s maximum modified AGI cannot exceed $95,000. Eligibility is reduced for individuals whose modified AGI exceeds those amounts and is lost at modified AGIs of $220,000 and $110,000 for joint filers and single filers, respectively.</w:t>
      </w:r>
    </w:p>
    <w:p w14:paraId="5D8DB8CB" w14:textId="77777777" w:rsidR="00434CE0" w:rsidRPr="000B485C" w:rsidRDefault="00EB6BD9" w:rsidP="00825E0B">
      <w:pPr>
        <w:rPr>
          <w:szCs w:val="22"/>
        </w:rPr>
      </w:pPr>
      <w:r>
        <w:rPr>
          <w:szCs w:val="22"/>
        </w:rPr>
        <w:t>In earlier lessons</w:t>
      </w:r>
      <w:r w:rsidR="00434CE0" w:rsidRPr="000B485C">
        <w:rPr>
          <w:szCs w:val="22"/>
        </w:rPr>
        <w:t xml:space="preserve">, </w:t>
      </w:r>
      <w:r>
        <w:rPr>
          <w:szCs w:val="22"/>
        </w:rPr>
        <w:t>we have referred to the individual’s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as a limiting factor with respect to deductions or eligibility.</w:t>
      </w:r>
      <w:r w:rsidR="00297ACB">
        <w:rPr>
          <w:szCs w:val="22"/>
        </w:rPr>
        <w:t xml:space="preserve"> </w:t>
      </w:r>
      <w:r>
        <w:rPr>
          <w:szCs w:val="22"/>
        </w:rPr>
        <w:t xml:space="preserve">In the case of ESAs, Congress has used the term </w:t>
      </w:r>
      <w:r w:rsidR="00297ACB">
        <w:rPr>
          <w:szCs w:val="22"/>
        </w:rPr>
        <w:t>“</w:t>
      </w:r>
      <w:r>
        <w:rPr>
          <w:szCs w:val="22"/>
        </w:rPr>
        <w:t>modified adjusted gross income.</w:t>
      </w:r>
      <w:r w:rsidR="00297ACB">
        <w:rPr>
          <w:szCs w:val="22"/>
        </w:rPr>
        <w:t xml:space="preserve">” </w:t>
      </w:r>
      <w:r>
        <w:rPr>
          <w:szCs w:val="22"/>
        </w:rPr>
        <w:t>M</w:t>
      </w:r>
      <w:r w:rsidR="00434CE0" w:rsidRPr="000B485C">
        <w:rPr>
          <w:szCs w:val="22"/>
        </w:rPr>
        <w:t>odified adjusted gross income refers to the exclusions for income derived from certain foreign sources or United States possessions.</w:t>
      </w:r>
      <w:r w:rsidR="00297ACB">
        <w:rPr>
          <w:szCs w:val="22"/>
        </w:rPr>
        <w:t xml:space="preserve"> </w:t>
      </w:r>
      <w:r w:rsidR="00434CE0" w:rsidRPr="000B485C">
        <w:rPr>
          <w:szCs w:val="22"/>
        </w:rPr>
        <w:t xml:space="preserve">So, the modified adjusted gross income </w:t>
      </w:r>
      <w:r w:rsidR="0085398F">
        <w:rPr>
          <w:szCs w:val="22"/>
        </w:rPr>
        <w:t xml:space="preserve">(MAGI) </w:t>
      </w:r>
      <w:r>
        <w:rPr>
          <w:szCs w:val="22"/>
        </w:rPr>
        <w:t xml:space="preserve">referred to with respect to Coverdell ESAs </w:t>
      </w:r>
      <w:r w:rsidR="00434CE0" w:rsidRPr="000B485C">
        <w:rPr>
          <w:szCs w:val="22"/>
        </w:rPr>
        <w:t xml:space="preserve">is adjusted gross income </w:t>
      </w:r>
      <w:r w:rsidR="00434CE0" w:rsidRPr="00EB6BD9">
        <w:rPr>
          <w:i/>
          <w:szCs w:val="22"/>
        </w:rPr>
        <w:t>plus</w:t>
      </w:r>
      <w:r w:rsidR="00434CE0" w:rsidRPr="000B485C">
        <w:rPr>
          <w:szCs w:val="22"/>
        </w:rPr>
        <w:t xml:space="preserve"> any excluded income from these two sources.</w:t>
      </w:r>
    </w:p>
    <w:p w14:paraId="20F72EBF" w14:textId="77777777" w:rsidR="00434CE0" w:rsidRPr="000B485C" w:rsidRDefault="00434CE0" w:rsidP="00825E0B">
      <w:pPr>
        <w:rPr>
          <w:szCs w:val="22"/>
        </w:rPr>
      </w:pPr>
      <w:r w:rsidRPr="000B485C">
        <w:rPr>
          <w:szCs w:val="22"/>
        </w:rPr>
        <w:t>The maximum contribution amount is phased out for joint tax filers with modified adjusted gross incomes between $1</w:t>
      </w:r>
      <w:r w:rsidR="00EB6BD9">
        <w:rPr>
          <w:szCs w:val="22"/>
        </w:rPr>
        <w:t>9</w:t>
      </w:r>
      <w:r w:rsidRPr="000B485C">
        <w:rPr>
          <w:szCs w:val="22"/>
        </w:rPr>
        <w:t>0,000 and $</w:t>
      </w:r>
      <w:r w:rsidR="00340D84">
        <w:rPr>
          <w:szCs w:val="22"/>
        </w:rPr>
        <w:t>22</w:t>
      </w:r>
      <w:r w:rsidRPr="000B485C">
        <w:rPr>
          <w:szCs w:val="22"/>
        </w:rPr>
        <w:t>0,000.</w:t>
      </w:r>
      <w:r w:rsidR="00297ACB">
        <w:rPr>
          <w:szCs w:val="22"/>
        </w:rPr>
        <w:t xml:space="preserve"> </w:t>
      </w:r>
      <w:r w:rsidR="00582F75">
        <w:rPr>
          <w:szCs w:val="22"/>
        </w:rPr>
        <w:t>No ESA contribution may be made by a joint tax filer with a modified AGI of $220,000 or more</w:t>
      </w:r>
      <w:r w:rsidR="0085398F" w:rsidRPr="0085398F">
        <w:t xml:space="preserve"> </w:t>
      </w:r>
      <w:r w:rsidR="0085398F">
        <w:t>or a single tax filer with a modified AGI of $110,000 or more</w:t>
      </w:r>
      <w:r w:rsidR="00582F75">
        <w:rPr>
          <w:szCs w:val="22"/>
        </w:rPr>
        <w:t>.</w:t>
      </w:r>
    </w:p>
    <w:p w14:paraId="45C9178C" w14:textId="77777777" w:rsidR="00187893" w:rsidRPr="00A81EB3" w:rsidRDefault="00187893" w:rsidP="00891F6C">
      <w:pPr>
        <w:pStyle w:val="Heading2"/>
      </w:pPr>
      <w:bookmarkStart w:id="131" w:name="_Toc48025271"/>
      <w:bookmarkStart w:id="132" w:name="_Toc404357208"/>
      <w:r w:rsidRPr="00A81EB3">
        <w:t>Limits on Contributions</w:t>
      </w:r>
      <w:bookmarkEnd w:id="131"/>
      <w:bookmarkEnd w:id="132"/>
    </w:p>
    <w:p w14:paraId="4E993E9C" w14:textId="77777777" w:rsidR="00187893" w:rsidRDefault="00340D84" w:rsidP="00CF48D6">
      <w:pPr>
        <w:spacing w:before="120"/>
        <w:rPr>
          <w:szCs w:val="22"/>
        </w:rPr>
      </w:pPr>
      <w:r>
        <w:rPr>
          <w:szCs w:val="22"/>
        </w:rPr>
        <w:t>T</w:t>
      </w:r>
      <w:r w:rsidR="00434CE0" w:rsidRPr="000B485C">
        <w:rPr>
          <w:szCs w:val="22"/>
        </w:rPr>
        <w:t xml:space="preserve">he formula for calculating the reduction from </w:t>
      </w:r>
      <w:r w:rsidR="00187893">
        <w:rPr>
          <w:szCs w:val="22"/>
        </w:rPr>
        <w:t xml:space="preserve">the maximum ESA contribution for high-income </w:t>
      </w:r>
      <w:r w:rsidR="0085398F">
        <w:rPr>
          <w:szCs w:val="22"/>
        </w:rPr>
        <w:t xml:space="preserve">joint filers </w:t>
      </w:r>
      <w:r w:rsidR="00187893">
        <w:rPr>
          <w:szCs w:val="22"/>
        </w:rPr>
        <w:t>is as follows:</w:t>
      </w:r>
    </w:p>
    <w:tbl>
      <w:tblPr>
        <w:tblW w:w="0" w:type="auto"/>
        <w:jc w:val="center"/>
        <w:tblLook w:val="01E0" w:firstRow="1" w:lastRow="1" w:firstColumn="1" w:lastColumn="1" w:noHBand="0" w:noVBand="0"/>
      </w:tblPr>
      <w:tblGrid>
        <w:gridCol w:w="3404"/>
        <w:gridCol w:w="333"/>
        <w:gridCol w:w="1746"/>
        <w:gridCol w:w="453"/>
        <w:gridCol w:w="3190"/>
      </w:tblGrid>
      <w:tr w:rsidR="00187893" w:rsidRPr="006D389B" w14:paraId="73350FFD" w14:textId="77777777" w:rsidTr="006D389B">
        <w:trPr>
          <w:jc w:val="center"/>
        </w:trPr>
        <w:tc>
          <w:tcPr>
            <w:tcW w:w="3404" w:type="dxa"/>
          </w:tcPr>
          <w:p w14:paraId="6803BDF6" w14:textId="77777777" w:rsidR="00187893" w:rsidRPr="006D389B" w:rsidRDefault="00187893" w:rsidP="006D389B">
            <w:pPr>
              <w:pStyle w:val="wTableNormal"/>
              <w:spacing w:before="120"/>
              <w:jc w:val="center"/>
              <w:rPr>
                <w:szCs w:val="22"/>
              </w:rPr>
            </w:pPr>
            <w:r w:rsidRPr="006D389B">
              <w:rPr>
                <w:szCs w:val="22"/>
              </w:rPr>
              <w:t>Reduction in Contribution</w:t>
            </w:r>
            <w:r w:rsidR="00C94C90" w:rsidRPr="006D389B">
              <w:rPr>
                <w:szCs w:val="22"/>
              </w:rPr>
              <w:t xml:space="preserve"> (joint filer)</w:t>
            </w:r>
          </w:p>
        </w:tc>
        <w:tc>
          <w:tcPr>
            <w:tcW w:w="333" w:type="dxa"/>
          </w:tcPr>
          <w:p w14:paraId="729B77A8" w14:textId="77777777" w:rsidR="00187893" w:rsidRPr="006D389B" w:rsidRDefault="00187893" w:rsidP="006D389B">
            <w:pPr>
              <w:pStyle w:val="wTableNormal"/>
              <w:spacing w:before="160"/>
              <w:jc w:val="center"/>
              <w:rPr>
                <w:szCs w:val="22"/>
              </w:rPr>
            </w:pPr>
            <w:r w:rsidRPr="006D389B">
              <w:rPr>
                <w:szCs w:val="22"/>
              </w:rPr>
              <w:t>=</w:t>
            </w:r>
          </w:p>
        </w:tc>
        <w:tc>
          <w:tcPr>
            <w:tcW w:w="1746" w:type="dxa"/>
          </w:tcPr>
          <w:p w14:paraId="514A5A72" w14:textId="77777777" w:rsidR="00187893" w:rsidRPr="006D389B" w:rsidRDefault="00187893" w:rsidP="006D389B">
            <w:pPr>
              <w:pStyle w:val="wTableNormal"/>
              <w:jc w:val="center"/>
              <w:rPr>
                <w:szCs w:val="22"/>
                <w:u w:val="single"/>
              </w:rPr>
            </w:pPr>
            <w:r w:rsidRPr="006D389B">
              <w:rPr>
                <w:szCs w:val="22"/>
                <w:u w:val="single"/>
              </w:rPr>
              <w:t>MAGI - $190,000</w:t>
            </w:r>
          </w:p>
          <w:p w14:paraId="2C7CAF57" w14:textId="77777777" w:rsidR="00187893" w:rsidRPr="006D389B" w:rsidRDefault="00187893" w:rsidP="006D389B">
            <w:pPr>
              <w:pStyle w:val="wTableNormal"/>
              <w:jc w:val="center"/>
              <w:rPr>
                <w:szCs w:val="22"/>
              </w:rPr>
            </w:pPr>
            <w:r w:rsidRPr="006D389B">
              <w:rPr>
                <w:szCs w:val="22"/>
              </w:rPr>
              <w:t>$30,000</w:t>
            </w:r>
          </w:p>
        </w:tc>
        <w:tc>
          <w:tcPr>
            <w:tcW w:w="453" w:type="dxa"/>
          </w:tcPr>
          <w:p w14:paraId="465F73F9" w14:textId="77777777" w:rsidR="00187893" w:rsidRPr="006D389B" w:rsidRDefault="00843A52" w:rsidP="006D389B">
            <w:pPr>
              <w:pStyle w:val="wTableNormal"/>
              <w:jc w:val="center"/>
              <w:rPr>
                <w:szCs w:val="22"/>
              </w:rPr>
            </w:pPr>
            <w:r w:rsidRPr="00843A52">
              <w:t>x</w:t>
            </w:r>
          </w:p>
        </w:tc>
        <w:tc>
          <w:tcPr>
            <w:tcW w:w="3190" w:type="dxa"/>
          </w:tcPr>
          <w:p w14:paraId="56F0E95A" w14:textId="77777777" w:rsidR="00187893" w:rsidRPr="006D389B" w:rsidRDefault="00187893" w:rsidP="006D389B">
            <w:pPr>
              <w:pStyle w:val="wTableNormal"/>
              <w:jc w:val="center"/>
              <w:rPr>
                <w:szCs w:val="22"/>
              </w:rPr>
            </w:pPr>
            <w:r w:rsidRPr="006D389B">
              <w:rPr>
                <w:szCs w:val="22"/>
              </w:rPr>
              <w:t>Maximum Permitted Contribution</w:t>
            </w:r>
          </w:p>
        </w:tc>
      </w:tr>
    </w:tbl>
    <w:p w14:paraId="55B34522" w14:textId="77777777" w:rsidR="00187893" w:rsidRDefault="00187893" w:rsidP="00CF48D6">
      <w:pPr>
        <w:spacing w:before="120"/>
        <w:rPr>
          <w:szCs w:val="22"/>
        </w:rPr>
      </w:pPr>
      <w:r>
        <w:rPr>
          <w:szCs w:val="22"/>
        </w:rPr>
        <w:t xml:space="preserve">So, if </w:t>
      </w:r>
      <w:r w:rsidR="0085398F">
        <w:rPr>
          <w:szCs w:val="22"/>
        </w:rPr>
        <w:t>a joint filer</w:t>
      </w:r>
      <w:r>
        <w:rPr>
          <w:szCs w:val="22"/>
        </w:rPr>
        <w:t xml:space="preserve"> has a modified AGI of $205,000, the maximum contribution that he or she could make to a Coverdell ESA is $1,000.</w:t>
      </w:r>
    </w:p>
    <w:p w14:paraId="59701CAA" w14:textId="77777777" w:rsidR="00187893" w:rsidRDefault="00187893" w:rsidP="00CF48D6">
      <w:pPr>
        <w:spacing w:before="120"/>
        <w:rPr>
          <w:szCs w:val="22"/>
        </w:rPr>
      </w:pPr>
      <w:r>
        <w:rPr>
          <w:szCs w:val="22"/>
        </w:rPr>
        <w:t>We can see how the formula works to reduce the maximum ESA contribution by substituting the appropriate numbers into the equation:</w:t>
      </w:r>
    </w:p>
    <w:tbl>
      <w:tblPr>
        <w:tblW w:w="0" w:type="auto"/>
        <w:jc w:val="center"/>
        <w:tblLook w:val="01E0" w:firstRow="1" w:lastRow="1" w:firstColumn="1" w:lastColumn="1" w:noHBand="0" w:noVBand="0"/>
      </w:tblPr>
      <w:tblGrid>
        <w:gridCol w:w="3414"/>
        <w:gridCol w:w="353"/>
        <w:gridCol w:w="2173"/>
        <w:gridCol w:w="330"/>
        <w:gridCol w:w="909"/>
        <w:gridCol w:w="333"/>
        <w:gridCol w:w="833"/>
      </w:tblGrid>
      <w:tr w:rsidR="006D5FCE" w:rsidRPr="006D389B" w14:paraId="6C7B8D3D" w14:textId="77777777" w:rsidTr="006D389B">
        <w:trPr>
          <w:jc w:val="center"/>
        </w:trPr>
        <w:tc>
          <w:tcPr>
            <w:tcW w:w="3414" w:type="dxa"/>
          </w:tcPr>
          <w:p w14:paraId="3D089481" w14:textId="77777777" w:rsidR="00187893" w:rsidRPr="009E008D" w:rsidRDefault="00187893" w:rsidP="006D389B">
            <w:pPr>
              <w:pStyle w:val="wTableNormal"/>
              <w:spacing w:before="120"/>
              <w:jc w:val="center"/>
            </w:pPr>
            <w:r w:rsidRPr="009E008D">
              <w:t>Reduction in Contribution</w:t>
            </w:r>
            <w:r w:rsidR="00C94C90" w:rsidRPr="009E008D">
              <w:t xml:space="preserve"> (joint filer)</w:t>
            </w:r>
          </w:p>
        </w:tc>
        <w:tc>
          <w:tcPr>
            <w:tcW w:w="353" w:type="dxa"/>
          </w:tcPr>
          <w:p w14:paraId="0D35DE2D" w14:textId="77777777" w:rsidR="00187893" w:rsidRPr="009E008D" w:rsidRDefault="00187893" w:rsidP="006D389B">
            <w:pPr>
              <w:pStyle w:val="wTableNormal"/>
              <w:spacing w:before="120"/>
              <w:jc w:val="center"/>
            </w:pPr>
            <w:r w:rsidRPr="009E008D">
              <w:t>=</w:t>
            </w:r>
          </w:p>
        </w:tc>
        <w:tc>
          <w:tcPr>
            <w:tcW w:w="2173" w:type="dxa"/>
          </w:tcPr>
          <w:p w14:paraId="6699187F" w14:textId="77777777" w:rsidR="00187893" w:rsidRPr="006D389B" w:rsidRDefault="00187893" w:rsidP="006D389B">
            <w:pPr>
              <w:pStyle w:val="wTableNormal"/>
              <w:jc w:val="center"/>
              <w:rPr>
                <w:u w:val="single"/>
              </w:rPr>
            </w:pPr>
            <w:r w:rsidRPr="006D389B">
              <w:rPr>
                <w:u w:val="single"/>
              </w:rPr>
              <w:t>$205,000 - $190,000</w:t>
            </w:r>
          </w:p>
          <w:p w14:paraId="1A4DAA2A" w14:textId="77777777" w:rsidR="00187893" w:rsidRPr="009E008D" w:rsidRDefault="00187893" w:rsidP="006D389B">
            <w:pPr>
              <w:pStyle w:val="wTableNormal"/>
              <w:jc w:val="center"/>
            </w:pPr>
            <w:r w:rsidRPr="009E008D">
              <w:t>$30,000</w:t>
            </w:r>
          </w:p>
        </w:tc>
        <w:tc>
          <w:tcPr>
            <w:tcW w:w="330" w:type="dxa"/>
          </w:tcPr>
          <w:p w14:paraId="3085C18F" w14:textId="77777777" w:rsidR="00187893" w:rsidRPr="009E008D" w:rsidRDefault="00843A52" w:rsidP="006D389B">
            <w:pPr>
              <w:pStyle w:val="wTableNormal"/>
              <w:spacing w:before="120"/>
              <w:jc w:val="center"/>
            </w:pPr>
            <w:r>
              <w:t>x</w:t>
            </w:r>
          </w:p>
        </w:tc>
        <w:tc>
          <w:tcPr>
            <w:tcW w:w="909" w:type="dxa"/>
          </w:tcPr>
          <w:p w14:paraId="165F5C8D" w14:textId="77777777" w:rsidR="00187893" w:rsidRPr="009E008D" w:rsidRDefault="00187893" w:rsidP="006D389B">
            <w:pPr>
              <w:pStyle w:val="wTableNormal"/>
              <w:spacing w:before="120"/>
              <w:jc w:val="center"/>
            </w:pPr>
            <w:r w:rsidRPr="009E008D">
              <w:t>$2,000</w:t>
            </w:r>
          </w:p>
        </w:tc>
        <w:tc>
          <w:tcPr>
            <w:tcW w:w="333" w:type="dxa"/>
          </w:tcPr>
          <w:p w14:paraId="636E3947" w14:textId="77777777" w:rsidR="00187893" w:rsidRPr="009E008D" w:rsidRDefault="00187893" w:rsidP="006D389B">
            <w:pPr>
              <w:pStyle w:val="wTableNormal"/>
              <w:spacing w:before="120"/>
              <w:jc w:val="center"/>
            </w:pPr>
            <w:r w:rsidRPr="009E008D">
              <w:t>=</w:t>
            </w:r>
          </w:p>
        </w:tc>
        <w:tc>
          <w:tcPr>
            <w:tcW w:w="833" w:type="dxa"/>
          </w:tcPr>
          <w:p w14:paraId="16985181" w14:textId="77777777" w:rsidR="00187893" w:rsidRPr="009E008D" w:rsidRDefault="00187893" w:rsidP="006D389B">
            <w:pPr>
              <w:pStyle w:val="wTableNormal"/>
              <w:spacing w:before="120"/>
              <w:jc w:val="center"/>
            </w:pPr>
            <w:r w:rsidRPr="009E008D">
              <w:t>$1,000</w:t>
            </w:r>
          </w:p>
        </w:tc>
      </w:tr>
    </w:tbl>
    <w:p w14:paraId="5AE65305" w14:textId="77777777" w:rsidR="00187893" w:rsidRDefault="00187893" w:rsidP="00CF48D6">
      <w:pPr>
        <w:spacing w:before="120"/>
        <w:rPr>
          <w:szCs w:val="22"/>
        </w:rPr>
      </w:pPr>
      <w:r>
        <w:rPr>
          <w:szCs w:val="22"/>
        </w:rPr>
        <w:t>For the individual’s modified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we substitute $205,000</w:t>
      </w:r>
      <w:r w:rsidR="00D57CF3">
        <w:rPr>
          <w:szCs w:val="22"/>
        </w:rPr>
        <w:t>; this gives us a fraction of $15,000/$30,000, or ½.</w:t>
      </w:r>
      <w:r w:rsidR="00297ACB">
        <w:rPr>
          <w:szCs w:val="22"/>
        </w:rPr>
        <w:t xml:space="preserve"> </w:t>
      </w:r>
      <w:r w:rsidR="00D57CF3">
        <w:rPr>
          <w:szCs w:val="22"/>
        </w:rPr>
        <w:t>Multiplied by $2,000, we have a reduction in the permitted contribution of $1,000.</w:t>
      </w:r>
      <w:r w:rsidR="00297ACB">
        <w:rPr>
          <w:szCs w:val="22"/>
        </w:rPr>
        <w:t xml:space="preserve"> </w:t>
      </w:r>
      <w:r w:rsidR="00D57CF3">
        <w:rPr>
          <w:szCs w:val="22"/>
        </w:rPr>
        <w:t>Since the maximum contribution is normally $2,000, the high-income individual is limited to making a contribution of no more than $1,000.</w:t>
      </w:r>
    </w:p>
    <w:p w14:paraId="510BDC61" w14:textId="77777777" w:rsidR="00280663" w:rsidRDefault="00434CE0" w:rsidP="00CF48D6">
      <w:pPr>
        <w:spacing w:before="120"/>
        <w:rPr>
          <w:szCs w:val="22"/>
        </w:rPr>
      </w:pPr>
      <w:r w:rsidRPr="000B485C">
        <w:rPr>
          <w:szCs w:val="22"/>
        </w:rPr>
        <w:t xml:space="preserve">The same kind of calculation needs to be done for the high-income </w:t>
      </w:r>
      <w:r w:rsidRPr="00D57CF3">
        <w:rPr>
          <w:i/>
          <w:szCs w:val="22"/>
        </w:rPr>
        <w:t>individual</w:t>
      </w:r>
      <w:r w:rsidRPr="000B485C">
        <w:rPr>
          <w:szCs w:val="22"/>
        </w:rPr>
        <w:t xml:space="preserve"> </w:t>
      </w:r>
      <w:r w:rsidR="00D57CF3">
        <w:rPr>
          <w:szCs w:val="22"/>
        </w:rPr>
        <w:t xml:space="preserve">tax </w:t>
      </w:r>
      <w:r w:rsidRPr="000B485C">
        <w:rPr>
          <w:szCs w:val="22"/>
        </w:rPr>
        <w:t>filer.</w:t>
      </w:r>
      <w:r w:rsidR="00297ACB">
        <w:rPr>
          <w:szCs w:val="22"/>
        </w:rPr>
        <w:t xml:space="preserve"> </w:t>
      </w:r>
      <w:r w:rsidRPr="000B485C">
        <w:rPr>
          <w:szCs w:val="22"/>
        </w:rPr>
        <w:t>A single tax filer with a modified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Pr="000B485C">
        <w:rPr>
          <w:szCs w:val="22"/>
        </w:rPr>
        <w:t xml:space="preserve"> of $95,000 or less can make a maximum </w:t>
      </w:r>
      <w:r w:rsidR="005C7876">
        <w:rPr>
          <w:szCs w:val="22"/>
        </w:rPr>
        <w:t>ESA</w:t>
      </w:r>
      <w:r w:rsidRPr="000B485C">
        <w:rPr>
          <w:szCs w:val="22"/>
        </w:rPr>
        <w:t xml:space="preserve"> contribution.</w:t>
      </w:r>
      <w:r w:rsidR="00297ACB">
        <w:rPr>
          <w:szCs w:val="22"/>
        </w:rPr>
        <w:t xml:space="preserve"> </w:t>
      </w:r>
      <w:r w:rsidRPr="000B485C">
        <w:rPr>
          <w:szCs w:val="22"/>
        </w:rPr>
        <w:t xml:space="preserve">Just as the maximum contribution was phased out for </w:t>
      </w:r>
      <w:r w:rsidR="00D57CF3">
        <w:rPr>
          <w:szCs w:val="22"/>
        </w:rPr>
        <w:t>the</w:t>
      </w:r>
      <w:r w:rsidRPr="000B485C">
        <w:rPr>
          <w:szCs w:val="22"/>
        </w:rPr>
        <w:t xml:space="preserve"> </w:t>
      </w:r>
      <w:r w:rsidRPr="00D57CF3">
        <w:rPr>
          <w:i/>
          <w:szCs w:val="22"/>
        </w:rPr>
        <w:t>joint</w:t>
      </w:r>
      <w:r w:rsidRPr="000B485C">
        <w:rPr>
          <w:szCs w:val="22"/>
        </w:rPr>
        <w:t xml:space="preserve"> </w:t>
      </w:r>
      <w:r w:rsidR="00D57CF3">
        <w:rPr>
          <w:szCs w:val="22"/>
        </w:rPr>
        <w:t xml:space="preserve">tax </w:t>
      </w:r>
      <w:r w:rsidRPr="000B485C">
        <w:rPr>
          <w:szCs w:val="22"/>
        </w:rPr>
        <w:t xml:space="preserve">filer client, it is also phased out for </w:t>
      </w:r>
      <w:r w:rsidR="00D57CF3">
        <w:rPr>
          <w:szCs w:val="22"/>
        </w:rPr>
        <w:t>the</w:t>
      </w:r>
      <w:r w:rsidRPr="000B485C">
        <w:rPr>
          <w:szCs w:val="22"/>
        </w:rPr>
        <w:t xml:space="preserve"> </w:t>
      </w:r>
      <w:r w:rsidRPr="00D57CF3">
        <w:rPr>
          <w:i/>
          <w:szCs w:val="22"/>
        </w:rPr>
        <w:t>individual</w:t>
      </w:r>
      <w:r w:rsidRPr="000B485C">
        <w:rPr>
          <w:szCs w:val="22"/>
        </w:rPr>
        <w:t xml:space="preserve"> filer client.</w:t>
      </w:r>
      <w:r w:rsidR="00297ACB">
        <w:rPr>
          <w:szCs w:val="22"/>
        </w:rPr>
        <w:t xml:space="preserve"> </w:t>
      </w:r>
      <w:r w:rsidR="00D57CF3">
        <w:rPr>
          <w:szCs w:val="22"/>
        </w:rPr>
        <w:t>In the case of an</w:t>
      </w:r>
      <w:r w:rsidRPr="000B485C">
        <w:rPr>
          <w:szCs w:val="22"/>
        </w:rPr>
        <w:t xml:space="preserve"> individual tax filer, however, the phase</w:t>
      </w:r>
      <w:r w:rsidR="005C3374">
        <w:rPr>
          <w:szCs w:val="22"/>
        </w:rPr>
        <w:t>-</w:t>
      </w:r>
      <w:r w:rsidRPr="000B485C">
        <w:rPr>
          <w:szCs w:val="22"/>
        </w:rPr>
        <w:t>out is over a $15,000 range</w:t>
      </w:r>
      <w:r w:rsidR="005C3374">
        <w:rPr>
          <w:szCs w:val="22"/>
        </w:rPr>
        <w:t>, rather than the $30,000 range that applies in the case of joint tax filers</w:t>
      </w:r>
      <w:r w:rsidRPr="000B485C">
        <w:rPr>
          <w:szCs w:val="22"/>
        </w:rPr>
        <w:t>.</w:t>
      </w:r>
      <w:r w:rsidR="00297ACB">
        <w:rPr>
          <w:szCs w:val="22"/>
        </w:rPr>
        <w:t xml:space="preserve"> </w:t>
      </w:r>
      <w:r w:rsidR="00C94C90">
        <w:rPr>
          <w:szCs w:val="22"/>
        </w:rPr>
        <w:t>So, the formula for determining the reduction in the maximum permitted ESA contribution for a high-income individual tax filer is as follows:</w:t>
      </w:r>
    </w:p>
    <w:tbl>
      <w:tblPr>
        <w:tblW w:w="0" w:type="auto"/>
        <w:jc w:val="center"/>
        <w:tblLook w:val="01E0" w:firstRow="1" w:lastRow="1" w:firstColumn="1" w:lastColumn="1" w:noHBand="0" w:noVBand="0"/>
      </w:tblPr>
      <w:tblGrid>
        <w:gridCol w:w="2507"/>
        <w:gridCol w:w="345"/>
        <w:gridCol w:w="2151"/>
        <w:gridCol w:w="443"/>
        <w:gridCol w:w="3244"/>
      </w:tblGrid>
      <w:tr w:rsidR="00C94C90" w:rsidRPr="006D389B" w14:paraId="5902C0BC" w14:textId="77777777" w:rsidTr="006D389B">
        <w:trPr>
          <w:jc w:val="center"/>
        </w:trPr>
        <w:tc>
          <w:tcPr>
            <w:tcW w:w="2507" w:type="dxa"/>
          </w:tcPr>
          <w:p w14:paraId="4F124EDA" w14:textId="77777777" w:rsidR="00C94C90" w:rsidRPr="009E008D" w:rsidRDefault="00C94C90" w:rsidP="006D389B">
            <w:pPr>
              <w:pStyle w:val="wTableNormal"/>
              <w:jc w:val="center"/>
            </w:pPr>
            <w:r w:rsidRPr="009E008D">
              <w:t xml:space="preserve">Reduction in Contribution </w:t>
            </w:r>
            <w:r w:rsidRPr="009E008D">
              <w:lastRenderedPageBreak/>
              <w:t>(individual filer)</w:t>
            </w:r>
          </w:p>
        </w:tc>
        <w:tc>
          <w:tcPr>
            <w:tcW w:w="345" w:type="dxa"/>
          </w:tcPr>
          <w:p w14:paraId="0C67E454" w14:textId="77777777" w:rsidR="00C94C90" w:rsidRPr="009E008D" w:rsidRDefault="00C94C90" w:rsidP="006D389B">
            <w:pPr>
              <w:pStyle w:val="wTableNormal"/>
              <w:jc w:val="center"/>
            </w:pPr>
            <w:r w:rsidRPr="009E008D">
              <w:lastRenderedPageBreak/>
              <w:t>=</w:t>
            </w:r>
          </w:p>
        </w:tc>
        <w:tc>
          <w:tcPr>
            <w:tcW w:w="2151" w:type="dxa"/>
          </w:tcPr>
          <w:p w14:paraId="08AF29E9" w14:textId="77777777" w:rsidR="00C94C90" w:rsidRPr="006D389B" w:rsidRDefault="00C94C90" w:rsidP="006D389B">
            <w:pPr>
              <w:pStyle w:val="wTableNormal"/>
              <w:jc w:val="center"/>
              <w:rPr>
                <w:u w:val="single"/>
              </w:rPr>
            </w:pPr>
            <w:r w:rsidRPr="006D389B">
              <w:rPr>
                <w:u w:val="single"/>
              </w:rPr>
              <w:t>MAGI - $95,000</w:t>
            </w:r>
          </w:p>
          <w:p w14:paraId="42E77662" w14:textId="77777777" w:rsidR="00C94C90" w:rsidRPr="009E008D" w:rsidRDefault="00C94C90" w:rsidP="006D389B">
            <w:pPr>
              <w:pStyle w:val="wTableNormal"/>
              <w:jc w:val="center"/>
            </w:pPr>
            <w:r w:rsidRPr="009E008D">
              <w:lastRenderedPageBreak/>
              <w:t>$15,000</w:t>
            </w:r>
          </w:p>
        </w:tc>
        <w:tc>
          <w:tcPr>
            <w:tcW w:w="443" w:type="dxa"/>
          </w:tcPr>
          <w:p w14:paraId="44B563EB" w14:textId="77777777" w:rsidR="00C94C90" w:rsidRPr="009E008D" w:rsidRDefault="005343D1" w:rsidP="006D389B">
            <w:pPr>
              <w:pStyle w:val="wTableNormal"/>
              <w:jc w:val="center"/>
            </w:pPr>
            <w:r>
              <w:lastRenderedPageBreak/>
              <w:t>x</w:t>
            </w:r>
          </w:p>
        </w:tc>
        <w:tc>
          <w:tcPr>
            <w:tcW w:w="3244" w:type="dxa"/>
          </w:tcPr>
          <w:p w14:paraId="7DC711CC" w14:textId="77777777" w:rsidR="00C94C90" w:rsidRPr="009E008D" w:rsidRDefault="00C94C90" w:rsidP="006D389B">
            <w:pPr>
              <w:pStyle w:val="wTableNormal"/>
              <w:jc w:val="center"/>
            </w:pPr>
            <w:r w:rsidRPr="009E008D">
              <w:t>Maximum Permitted Contribution</w:t>
            </w:r>
          </w:p>
        </w:tc>
      </w:tr>
    </w:tbl>
    <w:p w14:paraId="59A8CF6D" w14:textId="77777777" w:rsidR="00434CE0" w:rsidRPr="000B485C" w:rsidRDefault="00434CE0" w:rsidP="00CF48D6">
      <w:pPr>
        <w:spacing w:before="120"/>
        <w:rPr>
          <w:szCs w:val="22"/>
        </w:rPr>
      </w:pPr>
      <w:r w:rsidRPr="000B485C">
        <w:rPr>
          <w:szCs w:val="22"/>
        </w:rPr>
        <w:t>As you can see from the formula, the individual filer doesn’t completely lose the contribution unless his or her modified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Pr="000B485C">
        <w:rPr>
          <w:szCs w:val="22"/>
        </w:rPr>
        <w:t xml:space="preserve"> exceeds $110,000.</w:t>
      </w:r>
      <w:r w:rsidR="00297ACB">
        <w:rPr>
          <w:szCs w:val="22"/>
        </w:rPr>
        <w:t xml:space="preserve"> </w:t>
      </w:r>
      <w:r w:rsidRPr="000B485C">
        <w:rPr>
          <w:szCs w:val="22"/>
        </w:rPr>
        <w:t>By making the same calculations that we made for the joint filer, we can calculate the high-income individual filer’s reduced maximum contribution.</w:t>
      </w:r>
    </w:p>
    <w:p w14:paraId="3C2A6E5A" w14:textId="77777777" w:rsidR="00CD1AAF" w:rsidRDefault="00CD1AAF" w:rsidP="00CD1AAF">
      <w:pPr>
        <w:pStyle w:val="Heading3"/>
      </w:pPr>
      <w:bookmarkStart w:id="133" w:name="_Toc404357209"/>
      <w:r>
        <w:t>Eligible ESA Beneficiaries</w:t>
      </w:r>
      <w:bookmarkEnd w:id="133"/>
    </w:p>
    <w:p w14:paraId="42D83FCC" w14:textId="77777777" w:rsidR="001C74AA" w:rsidRDefault="00434CE0" w:rsidP="00825E0B">
      <w:pPr>
        <w:rPr>
          <w:szCs w:val="22"/>
        </w:rPr>
      </w:pPr>
      <w:r w:rsidRPr="000B485C">
        <w:rPr>
          <w:szCs w:val="22"/>
        </w:rPr>
        <w:t xml:space="preserve">Assuming that </w:t>
      </w:r>
      <w:r w:rsidR="00C94C90">
        <w:rPr>
          <w:szCs w:val="22"/>
        </w:rPr>
        <w:t>an individual</w:t>
      </w:r>
      <w:r w:rsidRPr="000B485C">
        <w:rPr>
          <w:szCs w:val="22"/>
        </w:rPr>
        <w:t xml:space="preserve"> is eligible to make a full </w:t>
      </w:r>
      <w:r w:rsidR="005C7876">
        <w:rPr>
          <w:szCs w:val="22"/>
        </w:rPr>
        <w:t>ESA</w:t>
      </w:r>
      <w:r w:rsidRPr="000B485C">
        <w:rPr>
          <w:szCs w:val="22"/>
        </w:rPr>
        <w:t xml:space="preserve"> contribution, </w:t>
      </w:r>
      <w:r w:rsidR="00C94C90">
        <w:rPr>
          <w:szCs w:val="22"/>
        </w:rPr>
        <w:t>he or she may contribute</w:t>
      </w:r>
      <w:r w:rsidRPr="000B485C">
        <w:rPr>
          <w:szCs w:val="22"/>
        </w:rPr>
        <w:t xml:space="preserve"> $</w:t>
      </w:r>
      <w:r w:rsidR="00C94C90">
        <w:rPr>
          <w:szCs w:val="22"/>
        </w:rPr>
        <w:t>2,0</w:t>
      </w:r>
      <w:r w:rsidRPr="000B485C">
        <w:rPr>
          <w:szCs w:val="22"/>
        </w:rPr>
        <w:t>00 each tax year on behalf of each beneficiary</w:t>
      </w:r>
      <w:r w:rsidR="001C74AA">
        <w:rPr>
          <w:szCs w:val="22"/>
        </w:rPr>
        <w:t>.</w:t>
      </w:r>
      <w:r w:rsidR="00297ACB">
        <w:rPr>
          <w:szCs w:val="22"/>
        </w:rPr>
        <w:t xml:space="preserve"> </w:t>
      </w:r>
      <w:r w:rsidR="001C74AA">
        <w:rPr>
          <w:szCs w:val="22"/>
        </w:rPr>
        <w:t>A beneficiary may be any individual</w:t>
      </w:r>
      <w:r w:rsidRPr="000B485C">
        <w:rPr>
          <w:szCs w:val="22"/>
        </w:rPr>
        <w:t xml:space="preserve"> who is age 18 or less.</w:t>
      </w:r>
      <w:r w:rsidR="00297ACB">
        <w:rPr>
          <w:szCs w:val="22"/>
        </w:rPr>
        <w:t xml:space="preserve"> </w:t>
      </w:r>
      <w:r w:rsidR="001C74AA">
        <w:rPr>
          <w:szCs w:val="22"/>
        </w:rPr>
        <w:t xml:space="preserve">However, if the beneficiary is a </w:t>
      </w:r>
      <w:r w:rsidR="001C74AA">
        <w:rPr>
          <w:i/>
          <w:szCs w:val="22"/>
        </w:rPr>
        <w:t>special needs beneficiary</w:t>
      </w:r>
      <w:r w:rsidR="00A95039">
        <w:rPr>
          <w:i/>
          <w:szCs w:val="22"/>
        </w:rPr>
        <w:fldChar w:fldCharType="begin"/>
      </w:r>
      <w:r w:rsidR="00500F1D">
        <w:instrText xml:space="preserve"> XE "</w:instrText>
      </w:r>
      <w:r w:rsidR="00500F1D" w:rsidRPr="00CD56BD">
        <w:rPr>
          <w:i/>
          <w:szCs w:val="22"/>
        </w:rPr>
        <w:instrText>special needs beneficiary</w:instrText>
      </w:r>
      <w:r w:rsidR="00500F1D">
        <w:instrText xml:space="preserve">" </w:instrText>
      </w:r>
      <w:r w:rsidR="00A95039">
        <w:rPr>
          <w:i/>
          <w:szCs w:val="22"/>
        </w:rPr>
        <w:fldChar w:fldCharType="end"/>
      </w:r>
      <w:r w:rsidR="001C74AA">
        <w:rPr>
          <w:szCs w:val="22"/>
        </w:rPr>
        <w:t xml:space="preserve">, the </w:t>
      </w:r>
      <w:r w:rsidR="00297ACB">
        <w:rPr>
          <w:szCs w:val="22"/>
        </w:rPr>
        <w:t>“</w:t>
      </w:r>
      <w:r w:rsidR="001C74AA">
        <w:rPr>
          <w:szCs w:val="22"/>
        </w:rPr>
        <w:t>age 18 or less</w:t>
      </w:r>
      <w:r w:rsidR="00297ACB">
        <w:rPr>
          <w:szCs w:val="22"/>
        </w:rPr>
        <w:t>”</w:t>
      </w:r>
      <w:r w:rsidR="001C74AA">
        <w:rPr>
          <w:szCs w:val="22"/>
        </w:rPr>
        <w:t xml:space="preserve"> requirement does not apply.</w:t>
      </w:r>
      <w:r w:rsidR="00297ACB">
        <w:rPr>
          <w:szCs w:val="22"/>
        </w:rPr>
        <w:t xml:space="preserve"> </w:t>
      </w:r>
      <w:r w:rsidR="001C74AA">
        <w:rPr>
          <w:szCs w:val="22"/>
        </w:rPr>
        <w:t>Although a final definition of a special needs beneficiary has not yet been provided, a special needs beneficiary is expected to include individuals who require additional time to complete their education because of mental or emotional conditions.</w:t>
      </w:r>
    </w:p>
    <w:p w14:paraId="7D144B6C" w14:textId="77777777" w:rsidR="00434CE0" w:rsidRPr="000B485C" w:rsidRDefault="00C94C90" w:rsidP="00825E0B">
      <w:pPr>
        <w:rPr>
          <w:szCs w:val="22"/>
        </w:rPr>
      </w:pPr>
      <w:r>
        <w:rPr>
          <w:szCs w:val="22"/>
        </w:rPr>
        <w:t>T</w:t>
      </w:r>
      <w:r w:rsidR="00434CE0" w:rsidRPr="000B485C">
        <w:rPr>
          <w:szCs w:val="22"/>
        </w:rPr>
        <w:t>he leg</w:t>
      </w:r>
      <w:r>
        <w:rPr>
          <w:szCs w:val="22"/>
        </w:rPr>
        <w:t>islation that authorized ESAs</w:t>
      </w:r>
      <w:r w:rsidR="00500D28">
        <w:rPr>
          <w:szCs w:val="22"/>
        </w:rPr>
        <w:t xml:space="preserve"> and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sidR="00434CE0" w:rsidRPr="000B485C">
        <w:rPr>
          <w:szCs w:val="22"/>
        </w:rPr>
        <w:t xml:space="preserve"> does not require any relationship between the </w:t>
      </w:r>
      <w:r w:rsidR="00500D28">
        <w:rPr>
          <w:szCs w:val="22"/>
        </w:rPr>
        <w:t xml:space="preserve">ESA </w:t>
      </w:r>
      <w:r w:rsidR="00434CE0" w:rsidRPr="000B485C">
        <w:rPr>
          <w:szCs w:val="22"/>
        </w:rPr>
        <w:t>donor and the beneficiary.</w:t>
      </w:r>
      <w:r w:rsidR="00297ACB">
        <w:rPr>
          <w:szCs w:val="22"/>
        </w:rPr>
        <w:t xml:space="preserve"> </w:t>
      </w:r>
      <w:r>
        <w:rPr>
          <w:szCs w:val="22"/>
        </w:rPr>
        <w:t>So, an individual may make a $2,0</w:t>
      </w:r>
      <w:r w:rsidR="00434CE0" w:rsidRPr="000B485C">
        <w:rPr>
          <w:szCs w:val="22"/>
        </w:rPr>
        <w:t>00 contribution for his or her child, grandchild or someone who is not related at all.</w:t>
      </w:r>
      <w:r w:rsidR="00297ACB">
        <w:rPr>
          <w:szCs w:val="22"/>
        </w:rPr>
        <w:t xml:space="preserve"> </w:t>
      </w:r>
      <w:r>
        <w:rPr>
          <w:szCs w:val="22"/>
        </w:rPr>
        <w:t>In addition</w:t>
      </w:r>
      <w:r w:rsidR="00434CE0" w:rsidRPr="000B485C">
        <w:rPr>
          <w:szCs w:val="22"/>
        </w:rPr>
        <w:t xml:space="preserve">, a donor may establish multiple </w:t>
      </w:r>
      <w:r w:rsidR="005C7876">
        <w:rPr>
          <w:szCs w:val="22"/>
        </w:rPr>
        <w:t>ESA</w:t>
      </w:r>
      <w:r w:rsidR="00434CE0" w:rsidRPr="000B485C">
        <w:rPr>
          <w:szCs w:val="22"/>
        </w:rPr>
        <w:t>s for many children, grandchildren or friends provided the contrib</w:t>
      </w:r>
      <w:r>
        <w:rPr>
          <w:szCs w:val="22"/>
        </w:rPr>
        <w:t>ution to each does not exceed $2,0</w:t>
      </w:r>
      <w:r w:rsidR="00434CE0" w:rsidRPr="000B485C">
        <w:rPr>
          <w:szCs w:val="22"/>
        </w:rPr>
        <w:t>00 and the beneficiary</w:t>
      </w:r>
      <w:r w:rsidR="001C74AA">
        <w:rPr>
          <w:szCs w:val="22"/>
        </w:rPr>
        <w:t>, unless it is a special needs beneficiary</w:t>
      </w:r>
      <w:r w:rsidR="00A95039">
        <w:rPr>
          <w:szCs w:val="22"/>
        </w:rPr>
        <w:fldChar w:fldCharType="begin"/>
      </w:r>
      <w:r w:rsidR="00500F1D">
        <w:instrText xml:space="preserve"> XE "</w:instrText>
      </w:r>
      <w:r w:rsidR="00500F1D" w:rsidRPr="00CD56BD">
        <w:rPr>
          <w:i/>
          <w:szCs w:val="22"/>
        </w:rPr>
        <w:instrText>special needs beneficiary</w:instrText>
      </w:r>
      <w:r w:rsidR="00500F1D">
        <w:instrText xml:space="preserve">" </w:instrText>
      </w:r>
      <w:r w:rsidR="00A95039">
        <w:rPr>
          <w:szCs w:val="22"/>
        </w:rPr>
        <w:fldChar w:fldCharType="end"/>
      </w:r>
      <w:r w:rsidR="001C74AA">
        <w:rPr>
          <w:szCs w:val="22"/>
        </w:rPr>
        <w:t>,</w:t>
      </w:r>
      <w:r w:rsidR="00434CE0" w:rsidRPr="000B485C">
        <w:rPr>
          <w:szCs w:val="22"/>
        </w:rPr>
        <w:t xml:space="preserve"> is not older than 18.</w:t>
      </w:r>
    </w:p>
    <w:p w14:paraId="0E9E7808" w14:textId="77777777" w:rsidR="00434CE0" w:rsidRPr="000B485C" w:rsidRDefault="00434CE0" w:rsidP="00825E0B">
      <w:pPr>
        <w:rPr>
          <w:szCs w:val="22"/>
        </w:rPr>
      </w:pPr>
      <w:r w:rsidRPr="000B485C">
        <w:rPr>
          <w:szCs w:val="22"/>
        </w:rPr>
        <w:t xml:space="preserve">The contribution </w:t>
      </w:r>
      <w:r w:rsidR="001C74AA">
        <w:rPr>
          <w:szCs w:val="22"/>
        </w:rPr>
        <w:t xml:space="preserve">to a Coverdell ESA </w:t>
      </w:r>
      <w:r w:rsidRPr="000B485C">
        <w:rPr>
          <w:szCs w:val="22"/>
        </w:rPr>
        <w:t>must be made to a trust or custodial account</w:t>
      </w:r>
      <w:r w:rsidR="00A95039">
        <w:rPr>
          <w:szCs w:val="22"/>
        </w:rPr>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rPr>
          <w:szCs w:val="22"/>
        </w:rPr>
        <w:fldChar w:fldCharType="end"/>
      </w:r>
      <w:r w:rsidR="001C74AA">
        <w:rPr>
          <w:szCs w:val="22"/>
        </w:rPr>
        <w:t xml:space="preserve"> which may allocate the funds to a wide range of investments</w:t>
      </w:r>
      <w:r w:rsidRPr="000B485C">
        <w:rPr>
          <w:szCs w:val="22"/>
        </w:rPr>
        <w:t>.</w:t>
      </w:r>
      <w:r w:rsidR="00297ACB">
        <w:rPr>
          <w:szCs w:val="22"/>
        </w:rPr>
        <w:t xml:space="preserve"> </w:t>
      </w:r>
      <w:r w:rsidR="001C74AA">
        <w:rPr>
          <w:szCs w:val="22"/>
        </w:rPr>
        <w:t>However, t</w:t>
      </w:r>
      <w:r w:rsidRPr="000B485C">
        <w:rPr>
          <w:szCs w:val="22"/>
        </w:rPr>
        <w:t xml:space="preserve">he legislation specifically prohibits the purchase of life insurance with the assets of the </w:t>
      </w:r>
      <w:r w:rsidR="005C7876">
        <w:rPr>
          <w:szCs w:val="22"/>
        </w:rPr>
        <w:t>ESA</w:t>
      </w:r>
      <w:r w:rsidRPr="000B485C">
        <w:rPr>
          <w:szCs w:val="22"/>
        </w:rPr>
        <w:t>.</w:t>
      </w:r>
    </w:p>
    <w:p w14:paraId="706F7FE1" w14:textId="77777777" w:rsidR="00414C12" w:rsidRPr="00A81EB3" w:rsidRDefault="00414C12" w:rsidP="00891F6C">
      <w:pPr>
        <w:pStyle w:val="Heading2"/>
      </w:pPr>
      <w:bookmarkStart w:id="134" w:name="_Toc48025272"/>
      <w:bookmarkStart w:id="135" w:name="_Toc404357210"/>
      <w:r w:rsidRPr="00A81EB3">
        <w:t>Tax Considerations</w:t>
      </w:r>
      <w:bookmarkEnd w:id="134"/>
      <w:bookmarkEnd w:id="135"/>
    </w:p>
    <w:p w14:paraId="0089C4B1" w14:textId="77777777" w:rsidR="00434CE0" w:rsidRPr="000B485C" w:rsidRDefault="00434CE0" w:rsidP="00825E0B">
      <w:pPr>
        <w:rPr>
          <w:szCs w:val="22"/>
        </w:rPr>
      </w:pPr>
      <w:r w:rsidRPr="000B485C">
        <w:rPr>
          <w:szCs w:val="22"/>
        </w:rPr>
        <w:t xml:space="preserve">Let’s turn our attention to the tax aspects of the </w:t>
      </w:r>
      <w:r w:rsidR="005C7876">
        <w:rPr>
          <w:szCs w:val="22"/>
        </w:rPr>
        <w:t>ESA</w:t>
      </w:r>
      <w:r w:rsidRPr="000B485C">
        <w:rPr>
          <w:szCs w:val="22"/>
        </w:rPr>
        <w:t>.</w:t>
      </w:r>
      <w:r w:rsidR="00297ACB">
        <w:rPr>
          <w:szCs w:val="22"/>
        </w:rPr>
        <w:t xml:space="preserve"> </w:t>
      </w:r>
      <w:r w:rsidRPr="000B485C">
        <w:rPr>
          <w:szCs w:val="22"/>
        </w:rPr>
        <w:t xml:space="preserve">Contributions made to an </w:t>
      </w:r>
      <w:r w:rsidR="005C7876">
        <w:rPr>
          <w:szCs w:val="22"/>
        </w:rPr>
        <w:t>ESA</w:t>
      </w:r>
      <w:r w:rsidR="00414C12">
        <w:rPr>
          <w:szCs w:val="22"/>
        </w:rPr>
        <w:t xml:space="preserve"> are not tax-deductible;</w:t>
      </w:r>
      <w:r w:rsidRPr="000B485C">
        <w:rPr>
          <w:szCs w:val="22"/>
        </w:rPr>
        <w:t xml:space="preserve"> </w:t>
      </w:r>
      <w:r w:rsidR="00414C12">
        <w:rPr>
          <w:szCs w:val="22"/>
        </w:rPr>
        <w:t>t</w:t>
      </w:r>
      <w:r w:rsidRPr="000B485C">
        <w:rPr>
          <w:szCs w:val="22"/>
        </w:rPr>
        <w:t>hey are made with after-tax dollars.</w:t>
      </w:r>
      <w:r w:rsidR="00297ACB">
        <w:rPr>
          <w:szCs w:val="22"/>
        </w:rPr>
        <w:t xml:space="preserve"> </w:t>
      </w:r>
      <w:r w:rsidRPr="000B485C">
        <w:rPr>
          <w:szCs w:val="22"/>
        </w:rPr>
        <w:t xml:space="preserve">Contributions made to an </w:t>
      </w:r>
      <w:r w:rsidR="005C7876">
        <w:rPr>
          <w:szCs w:val="22"/>
        </w:rPr>
        <w:t>ESA</w:t>
      </w:r>
      <w:r w:rsidRPr="000B485C">
        <w:rPr>
          <w:szCs w:val="22"/>
        </w:rPr>
        <w:t xml:space="preserve"> that are in excess of the amount that the individual is eligible to make are subject to a penalty.</w:t>
      </w:r>
      <w:r w:rsidR="00297ACB">
        <w:rPr>
          <w:szCs w:val="22"/>
        </w:rPr>
        <w:t xml:space="preserve"> </w:t>
      </w:r>
      <w:r w:rsidRPr="000B485C">
        <w:rPr>
          <w:szCs w:val="22"/>
        </w:rPr>
        <w:t xml:space="preserve">Although </w:t>
      </w:r>
      <w:r w:rsidR="005C7876">
        <w:rPr>
          <w:szCs w:val="22"/>
        </w:rPr>
        <w:t>ESA</w:t>
      </w:r>
      <w:r w:rsidRPr="000B485C">
        <w:rPr>
          <w:szCs w:val="22"/>
        </w:rPr>
        <w:t xml:space="preserve"> contributions are not tax-deductible, the donor may incur a 6 percent excise tax for donations that exceed the maximum allowable.</w:t>
      </w:r>
      <w:r w:rsidR="00297ACB">
        <w:rPr>
          <w:szCs w:val="22"/>
        </w:rPr>
        <w:t xml:space="preserve"> </w:t>
      </w:r>
      <w:r w:rsidR="00414C12">
        <w:rPr>
          <w:szCs w:val="22"/>
        </w:rPr>
        <w:t>T</w:t>
      </w:r>
      <w:r w:rsidRPr="000B485C">
        <w:rPr>
          <w:szCs w:val="22"/>
        </w:rPr>
        <w:t>h</w:t>
      </w:r>
      <w:r w:rsidR="00414C12">
        <w:rPr>
          <w:szCs w:val="22"/>
        </w:rPr>
        <w:t>e</w:t>
      </w:r>
      <w:r w:rsidRPr="000B485C">
        <w:rPr>
          <w:szCs w:val="22"/>
        </w:rPr>
        <w:t xml:space="preserve"> excise tax will </w:t>
      </w:r>
      <w:r w:rsidR="00414C12">
        <w:rPr>
          <w:szCs w:val="22"/>
        </w:rPr>
        <w:t>be levied each year</w:t>
      </w:r>
      <w:r w:rsidRPr="000B485C">
        <w:rPr>
          <w:szCs w:val="22"/>
        </w:rPr>
        <w:t xml:space="preserve"> for as long as the excess contribution remains in the account.</w:t>
      </w:r>
    </w:p>
    <w:p w14:paraId="404B67C8" w14:textId="77777777" w:rsidR="00434CE0" w:rsidRPr="000B485C" w:rsidRDefault="00434CE0" w:rsidP="00825E0B">
      <w:pPr>
        <w:rPr>
          <w:szCs w:val="22"/>
        </w:rPr>
      </w:pPr>
      <w:r w:rsidRPr="000B485C">
        <w:rPr>
          <w:szCs w:val="22"/>
        </w:rPr>
        <w:t xml:space="preserve">Since contributions are not tax-deductible and may incur an excise tax, the attraction </w:t>
      </w:r>
      <w:r w:rsidR="00414C12">
        <w:rPr>
          <w:szCs w:val="22"/>
        </w:rPr>
        <w:t>of</w:t>
      </w:r>
      <w:r w:rsidRPr="000B485C">
        <w:rPr>
          <w:szCs w:val="22"/>
        </w:rPr>
        <w:t xml:space="preserve"> an </w:t>
      </w:r>
      <w:r w:rsidR="005C7876">
        <w:rPr>
          <w:szCs w:val="22"/>
        </w:rPr>
        <w:t>ESA</w:t>
      </w:r>
      <w:r w:rsidR="00414C12">
        <w:rPr>
          <w:szCs w:val="22"/>
        </w:rPr>
        <w:t xml:space="preserve"> lies in its:</w:t>
      </w:r>
    </w:p>
    <w:p w14:paraId="27D94750" w14:textId="77777777" w:rsidR="00414C12" w:rsidRPr="00BB4B66" w:rsidRDefault="00434CE0" w:rsidP="007A5E54">
      <w:pPr>
        <w:numPr>
          <w:ilvl w:val="0"/>
          <w:numId w:val="20"/>
        </w:numPr>
        <w:contextualSpacing/>
      </w:pPr>
      <w:r w:rsidRPr="00BB4B66">
        <w:t>Tax deferral</w:t>
      </w:r>
      <w:r w:rsidR="00A95039">
        <w:fldChar w:fldCharType="begin"/>
      </w:r>
      <w:r w:rsidR="00293611">
        <w:instrText xml:space="preserve"> XE "</w:instrText>
      </w:r>
      <w:r w:rsidR="00293611" w:rsidRPr="00CD56BD">
        <w:instrText>Tax deferral</w:instrText>
      </w:r>
      <w:r w:rsidR="00293611">
        <w:instrText xml:space="preserve">" </w:instrText>
      </w:r>
      <w:r w:rsidR="00A95039">
        <w:fldChar w:fldCharType="end"/>
      </w:r>
      <w:r w:rsidRPr="00BB4B66">
        <w:t xml:space="preserve"> of accumulations</w:t>
      </w:r>
      <w:r w:rsidR="0053362F">
        <w:t>;</w:t>
      </w:r>
      <w:r w:rsidR="005343D1" w:rsidRPr="00BB4B66">
        <w:t xml:space="preserve"> </w:t>
      </w:r>
      <w:r w:rsidR="00414C12" w:rsidRPr="00BB4B66">
        <w:t>and</w:t>
      </w:r>
    </w:p>
    <w:p w14:paraId="55919D54" w14:textId="77777777" w:rsidR="00DD394F" w:rsidRDefault="00414C12">
      <w:pPr>
        <w:numPr>
          <w:ilvl w:val="0"/>
          <w:numId w:val="20"/>
        </w:numPr>
      </w:pPr>
      <w:r w:rsidRPr="00BB4B66">
        <w:t>Possible tax-free d</w:t>
      </w:r>
      <w:r w:rsidR="00434CE0" w:rsidRPr="00BB4B66">
        <w:t>istributions</w:t>
      </w:r>
      <w:r w:rsidR="0085398F" w:rsidRPr="0085398F">
        <w:t xml:space="preserve"> </w:t>
      </w:r>
      <w:r w:rsidR="0085398F">
        <w:t>when used to pay qualified education expenses</w:t>
      </w:r>
      <w:r w:rsidR="0053362F">
        <w:t>.</w:t>
      </w:r>
    </w:p>
    <w:p w14:paraId="4E4D947A" w14:textId="77777777" w:rsidR="00434CE0" w:rsidRPr="000B485C" w:rsidRDefault="00434CE0" w:rsidP="00825E0B">
      <w:pPr>
        <w:rPr>
          <w:szCs w:val="22"/>
        </w:rPr>
      </w:pPr>
      <w:r w:rsidRPr="000B485C">
        <w:rPr>
          <w:szCs w:val="22"/>
        </w:rPr>
        <w:t xml:space="preserve">Although there are no tax benefits </w:t>
      </w:r>
      <w:r w:rsidR="00A81EB3">
        <w:rPr>
          <w:szCs w:val="22"/>
        </w:rPr>
        <w:t>given</w:t>
      </w:r>
      <w:r w:rsidRPr="000B485C">
        <w:rPr>
          <w:szCs w:val="22"/>
        </w:rPr>
        <w:t xml:space="preserve"> to contributions to an </w:t>
      </w:r>
      <w:r w:rsidR="005C7876">
        <w:rPr>
          <w:szCs w:val="22"/>
        </w:rPr>
        <w:t>ESA</w:t>
      </w:r>
      <w:r w:rsidRPr="000B485C">
        <w:rPr>
          <w:szCs w:val="22"/>
        </w:rPr>
        <w:t>, there are definite benefits that apply to the</w:t>
      </w:r>
      <w:r w:rsidR="008E1422">
        <w:rPr>
          <w:szCs w:val="22"/>
        </w:rPr>
        <w:t>ir</w:t>
      </w:r>
      <w:r w:rsidRPr="000B485C">
        <w:rPr>
          <w:szCs w:val="22"/>
        </w:rPr>
        <w:t xml:space="preserve"> accumulation</w:t>
      </w:r>
      <w:r w:rsidR="008E1422">
        <w:rPr>
          <w:szCs w:val="22"/>
        </w:rPr>
        <w:t xml:space="preserve"> </w:t>
      </w:r>
      <w:r w:rsidRPr="000B485C">
        <w:rPr>
          <w:szCs w:val="22"/>
        </w:rPr>
        <w:t>and distribution.</w:t>
      </w:r>
      <w:r w:rsidR="00297ACB">
        <w:rPr>
          <w:szCs w:val="22"/>
        </w:rPr>
        <w:t xml:space="preserve"> </w:t>
      </w:r>
      <w:r w:rsidRPr="000B485C">
        <w:rPr>
          <w:szCs w:val="22"/>
        </w:rPr>
        <w:t xml:space="preserve">Specifically, taxes are deferred on </w:t>
      </w:r>
      <w:r w:rsidR="00A97B28">
        <w:rPr>
          <w:szCs w:val="22"/>
        </w:rPr>
        <w:t>the gain accumulated</w:t>
      </w:r>
      <w:r w:rsidR="00A97B28" w:rsidRPr="000B485C">
        <w:rPr>
          <w:szCs w:val="22"/>
        </w:rPr>
        <w:t xml:space="preserve"> </w:t>
      </w:r>
      <w:r w:rsidRPr="000B485C">
        <w:rPr>
          <w:szCs w:val="22"/>
        </w:rPr>
        <w:t xml:space="preserve">in the </w:t>
      </w:r>
      <w:r w:rsidR="005C7876">
        <w:rPr>
          <w:szCs w:val="22"/>
        </w:rPr>
        <w:t>ESA</w:t>
      </w:r>
      <w:r w:rsidRPr="000B485C">
        <w:rPr>
          <w:szCs w:val="22"/>
        </w:rPr>
        <w:t>, and distributions may be tax free.</w:t>
      </w:r>
    </w:p>
    <w:p w14:paraId="1145FAEB" w14:textId="77777777" w:rsidR="00CD1AAF" w:rsidRDefault="00CD1AAF" w:rsidP="00CD1AAF">
      <w:pPr>
        <w:pStyle w:val="Heading3"/>
      </w:pPr>
      <w:bookmarkStart w:id="136" w:name="_Toc404357211"/>
      <w:r>
        <w:t>Tax-Free ESA Distributions</w:t>
      </w:r>
      <w:bookmarkEnd w:id="136"/>
    </w:p>
    <w:p w14:paraId="44B7C0BE" w14:textId="77777777" w:rsidR="00434CE0" w:rsidRPr="000B485C" w:rsidRDefault="00434CE0" w:rsidP="00825E0B">
      <w:pPr>
        <w:rPr>
          <w:szCs w:val="22"/>
        </w:rPr>
      </w:pPr>
      <w:r w:rsidRPr="000B485C">
        <w:rPr>
          <w:szCs w:val="22"/>
        </w:rPr>
        <w:t xml:space="preserve">In order for distributions from an </w:t>
      </w:r>
      <w:r w:rsidR="005C7876">
        <w:rPr>
          <w:szCs w:val="22"/>
        </w:rPr>
        <w:t>ESA</w:t>
      </w:r>
      <w:r w:rsidRPr="000B485C">
        <w:rPr>
          <w:szCs w:val="22"/>
        </w:rPr>
        <w:t xml:space="preserve"> to be excludable from income tax, the distribution received during the year must be used solely for the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Pr="000B485C">
        <w:rPr>
          <w:szCs w:val="22"/>
        </w:rPr>
        <w:t xml:space="preserve"> of the designated beneficiary.</w:t>
      </w:r>
      <w:r w:rsidR="00297ACB">
        <w:rPr>
          <w:szCs w:val="22"/>
        </w:rPr>
        <w:t xml:space="preserve"> </w:t>
      </w:r>
      <w:r w:rsidR="00720173">
        <w:rPr>
          <w:szCs w:val="22"/>
        </w:rPr>
        <w:t>Qualified education expenses are reduced by the amount of any such expenses taken into account in determining</w:t>
      </w:r>
      <w:r w:rsidRPr="000B485C">
        <w:rPr>
          <w:szCs w:val="22"/>
        </w:rPr>
        <w:t xml:space="preserve"> the </w:t>
      </w:r>
      <w:r w:rsidR="00AE10A9">
        <w:rPr>
          <w:szCs w:val="22"/>
        </w:rPr>
        <w:t>American Opportunity</w:t>
      </w:r>
      <w:r w:rsidR="00720173">
        <w:rPr>
          <w:szCs w:val="22"/>
        </w:rPr>
        <w:t xml:space="preserve"> Credit</w:t>
      </w:r>
      <w:r w:rsidR="00A95039">
        <w:rPr>
          <w:szCs w:val="22"/>
        </w:rPr>
        <w:fldChar w:fldCharType="begin"/>
      </w:r>
      <w:r w:rsidR="00500F1D">
        <w:instrText xml:space="preserve"> XE "</w:instrText>
      </w:r>
      <w:r w:rsidR="00500F1D" w:rsidRPr="00CD56BD">
        <w:rPr>
          <w:szCs w:val="22"/>
        </w:rPr>
        <w:instrText>Hope Scholarship Credit</w:instrText>
      </w:r>
      <w:r w:rsidR="00500F1D">
        <w:instrText xml:space="preserve">" </w:instrText>
      </w:r>
      <w:r w:rsidR="00A95039">
        <w:rPr>
          <w:szCs w:val="22"/>
        </w:rPr>
        <w:fldChar w:fldCharType="end"/>
      </w:r>
      <w:r w:rsidR="00720173">
        <w:rPr>
          <w:szCs w:val="22"/>
        </w:rPr>
        <w:t xml:space="preserve"> </w:t>
      </w:r>
      <w:r w:rsidRPr="000B485C">
        <w:rPr>
          <w:szCs w:val="22"/>
        </w:rPr>
        <w:t>or the Lifetime Learning Credit</w:t>
      </w:r>
      <w:r w:rsidR="00720173">
        <w:rPr>
          <w:szCs w:val="22"/>
        </w:rPr>
        <w:t>.</w:t>
      </w:r>
      <w:r w:rsidR="00A95039">
        <w:rPr>
          <w:szCs w:val="22"/>
        </w:rPr>
        <w:fldChar w:fldCharType="begin"/>
      </w:r>
      <w:r w:rsidR="00500F1D">
        <w:instrText xml:space="preserve"> XE "</w:instrText>
      </w:r>
      <w:r w:rsidR="00500F1D" w:rsidRPr="00CD56BD">
        <w:rPr>
          <w:szCs w:val="22"/>
        </w:rPr>
        <w:instrText>Lifetime Learning Credit.</w:instrText>
      </w:r>
      <w:r w:rsidR="00500F1D">
        <w:instrText xml:space="preserve">" </w:instrText>
      </w:r>
      <w:r w:rsidR="00A95039">
        <w:rPr>
          <w:szCs w:val="22"/>
        </w:rPr>
        <w:fldChar w:fldCharType="end"/>
      </w:r>
    </w:p>
    <w:p w14:paraId="586A1BC7" w14:textId="77777777" w:rsidR="00720173" w:rsidRDefault="00720173" w:rsidP="00825E0B">
      <w:pPr>
        <w:rPr>
          <w:szCs w:val="22"/>
        </w:rPr>
      </w:pPr>
      <w:r>
        <w:rPr>
          <w:szCs w:val="22"/>
        </w:rPr>
        <w:t>T</w:t>
      </w:r>
      <w:r w:rsidR="00434CE0" w:rsidRPr="000B485C">
        <w:rPr>
          <w:szCs w:val="22"/>
        </w:rPr>
        <w:t xml:space="preserve">here are two </w:t>
      </w:r>
      <w:r>
        <w:rPr>
          <w:szCs w:val="22"/>
        </w:rPr>
        <w:t xml:space="preserve">important </w:t>
      </w:r>
      <w:r w:rsidR="00434CE0" w:rsidRPr="000B485C">
        <w:rPr>
          <w:szCs w:val="22"/>
        </w:rPr>
        <w:t xml:space="preserve">limitations </w:t>
      </w:r>
      <w:r>
        <w:rPr>
          <w:szCs w:val="22"/>
        </w:rPr>
        <w:t>pertaining to ESA distributions</w:t>
      </w:r>
      <w:r w:rsidR="00434CE0" w:rsidRPr="000B485C">
        <w:rPr>
          <w:szCs w:val="22"/>
        </w:rPr>
        <w:t>.</w:t>
      </w:r>
      <w:r w:rsidR="00297ACB">
        <w:rPr>
          <w:szCs w:val="22"/>
        </w:rPr>
        <w:t xml:space="preserve"> </w:t>
      </w:r>
      <w:r w:rsidR="00434CE0" w:rsidRPr="000B485C">
        <w:rPr>
          <w:szCs w:val="22"/>
        </w:rPr>
        <w:t xml:space="preserve">The first limitation on the distribution is that it must be </w:t>
      </w:r>
      <w:r>
        <w:rPr>
          <w:szCs w:val="22"/>
        </w:rPr>
        <w:t>used solely for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Pr>
          <w:szCs w:val="22"/>
        </w:rPr>
        <w:t>, and t</w:t>
      </w:r>
      <w:r w:rsidR="00434CE0" w:rsidRPr="000B485C">
        <w:rPr>
          <w:szCs w:val="22"/>
        </w:rPr>
        <w:t xml:space="preserve">he second is that the </w:t>
      </w:r>
      <w:r w:rsidR="00434CE0" w:rsidRPr="000B485C">
        <w:rPr>
          <w:szCs w:val="22"/>
        </w:rPr>
        <w:lastRenderedPageBreak/>
        <w:t>distribution must be used for the designated beneficiary.</w:t>
      </w:r>
      <w:r w:rsidR="00297ACB">
        <w:rPr>
          <w:szCs w:val="22"/>
        </w:rPr>
        <w:t xml:space="preserve"> </w:t>
      </w:r>
      <w:r w:rsidR="00434CE0" w:rsidRPr="000B485C">
        <w:rPr>
          <w:szCs w:val="22"/>
        </w:rPr>
        <w:t xml:space="preserve">If a distribution is taken from an </w:t>
      </w:r>
      <w:r w:rsidR="005C7876">
        <w:rPr>
          <w:szCs w:val="22"/>
        </w:rPr>
        <w:t>ESA</w:t>
      </w:r>
      <w:r w:rsidR="00434CE0" w:rsidRPr="000B485C">
        <w:rPr>
          <w:szCs w:val="22"/>
        </w:rPr>
        <w:t xml:space="preserve"> and fails </w:t>
      </w:r>
      <w:r>
        <w:rPr>
          <w:szCs w:val="22"/>
        </w:rPr>
        <w:t>to meet</w:t>
      </w:r>
      <w:r w:rsidR="00434CE0" w:rsidRPr="000B485C">
        <w:rPr>
          <w:szCs w:val="22"/>
        </w:rPr>
        <w:t xml:space="preserve"> either of these requirements, the distribut</w:t>
      </w:r>
      <w:r w:rsidR="00A97B28">
        <w:rPr>
          <w:szCs w:val="22"/>
        </w:rPr>
        <w:t>ed gain</w:t>
      </w:r>
      <w:r w:rsidR="00434CE0" w:rsidRPr="000B485C">
        <w:rPr>
          <w:szCs w:val="22"/>
        </w:rPr>
        <w:t xml:space="preserve"> would be subject to income tax</w:t>
      </w:r>
      <w:r w:rsidR="00A97B28">
        <w:rPr>
          <w:szCs w:val="22"/>
        </w:rPr>
        <w:t>.</w:t>
      </w:r>
      <w:r w:rsidR="00434CE0" w:rsidRPr="000B485C">
        <w:rPr>
          <w:szCs w:val="22"/>
        </w:rPr>
        <w:t xml:space="preserve"> </w:t>
      </w:r>
    </w:p>
    <w:p w14:paraId="79B88A90" w14:textId="77777777" w:rsidR="00A97B28" w:rsidRDefault="00A97B28" w:rsidP="00A97B28">
      <w:r>
        <w:t xml:space="preserve">Calculating the taxable portion of an ESA distribution that exceeds the beneficiary’s qualified education expenses requires that: </w:t>
      </w:r>
    </w:p>
    <w:p w14:paraId="37A8BE62" w14:textId="77777777" w:rsidR="00A97B28" w:rsidRDefault="00A97B28" w:rsidP="00A97B28">
      <w:pPr>
        <w:pStyle w:val="ListParagraph"/>
        <w:numPr>
          <w:ilvl w:val="0"/>
          <w:numId w:val="147"/>
        </w:numPr>
        <w:spacing w:before="120"/>
      </w:pPr>
      <w:r>
        <w:t>The total distributed earnings be multiplied by a fraction the numerator of which is the qualified education expenses paid (reduced by any adjustments for tax credits, etc.) and the denominator of which is the total amount distributed to determine the tax-free portion of the distributed earnings; and</w:t>
      </w:r>
    </w:p>
    <w:p w14:paraId="5F9C8A0B" w14:textId="77777777" w:rsidR="00DD394F" w:rsidRDefault="00A97B28" w:rsidP="00DD394F">
      <w:pPr>
        <w:pStyle w:val="ListParagraph"/>
        <w:numPr>
          <w:ilvl w:val="0"/>
          <w:numId w:val="147"/>
        </w:numPr>
        <w:spacing w:before="120"/>
        <w:rPr>
          <w:szCs w:val="22"/>
        </w:rPr>
      </w:pPr>
      <w:r>
        <w:t xml:space="preserve">The amount determined in 1 above must be subtracted from the total distributed earnings. </w:t>
      </w:r>
    </w:p>
    <w:p w14:paraId="1368BD0A" w14:textId="77777777" w:rsidR="00CD1AAF" w:rsidRDefault="00CD1AAF" w:rsidP="00CD1AAF">
      <w:pPr>
        <w:pStyle w:val="Heading4"/>
      </w:pPr>
      <w:bookmarkStart w:id="137" w:name="_Toc404357212"/>
      <w:r>
        <w:t>Qualified Education Expenses</w:t>
      </w:r>
      <w:bookmarkEnd w:id="137"/>
    </w:p>
    <w:p w14:paraId="3428D178" w14:textId="77777777" w:rsidR="00434CE0" w:rsidRPr="000B485C" w:rsidRDefault="00720173" w:rsidP="00CF48D6">
      <w:pPr>
        <w:spacing w:before="120"/>
        <w:rPr>
          <w:i/>
          <w:szCs w:val="22"/>
        </w:rPr>
      </w:pPr>
      <w:r>
        <w:rPr>
          <w:szCs w:val="22"/>
        </w:rPr>
        <w:t>Let’s turn our attention now to</w:t>
      </w:r>
      <w:r w:rsidR="00434CE0" w:rsidRPr="000B485C">
        <w:rPr>
          <w:szCs w:val="22"/>
        </w:rPr>
        <w:t xml:space="preserve"> </w:t>
      </w:r>
      <w:r>
        <w:rPr>
          <w:szCs w:val="22"/>
        </w:rPr>
        <w:t xml:space="preserve">the meaning of </w:t>
      </w:r>
      <w:r w:rsidR="00297ACB">
        <w:rPr>
          <w:szCs w:val="22"/>
        </w:rPr>
        <w:t>“</w:t>
      </w:r>
      <w:r>
        <w:rPr>
          <w:szCs w:val="22"/>
        </w:rPr>
        <w:t>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00297ACB">
        <w:rPr>
          <w:szCs w:val="22"/>
        </w:rPr>
        <w:t>”</w:t>
      </w:r>
      <w:r>
        <w:rPr>
          <w:szCs w:val="22"/>
        </w:rPr>
        <w:t xml:space="preserve"> for ESA purposes.</w:t>
      </w:r>
      <w:r w:rsidR="00297ACB">
        <w:rPr>
          <w:szCs w:val="22"/>
        </w:rPr>
        <w:t xml:space="preserve"> </w:t>
      </w:r>
      <w:r w:rsidR="00C90874">
        <w:rPr>
          <w:szCs w:val="22"/>
        </w:rPr>
        <w:t>The</w:t>
      </w:r>
      <w:r w:rsidR="00434CE0" w:rsidRPr="000B485C">
        <w:rPr>
          <w:szCs w:val="22"/>
        </w:rPr>
        <w:t xml:space="preserve"> expenses </w:t>
      </w:r>
      <w:r w:rsidR="00C90874">
        <w:rPr>
          <w:szCs w:val="22"/>
        </w:rPr>
        <w:t>that are considered</w:t>
      </w:r>
      <w:r w:rsidR="00434CE0" w:rsidRPr="000B485C">
        <w:rPr>
          <w:szCs w:val="22"/>
        </w:rPr>
        <w:t xml:space="preserve"> qualified education expenses</w:t>
      </w:r>
      <w:r w:rsidR="00C90874">
        <w:rPr>
          <w:szCs w:val="22"/>
        </w:rPr>
        <w:t xml:space="preserve"> for purposes of </w:t>
      </w:r>
      <w:r w:rsidR="001A34B0">
        <w:rPr>
          <w:szCs w:val="22"/>
        </w:rPr>
        <w:t>a</w:t>
      </w:r>
      <w:r w:rsidR="00C90874">
        <w:rPr>
          <w:szCs w:val="22"/>
        </w:rPr>
        <w:t xml:space="preserve"> Coverdell ESA are as shown below.</w:t>
      </w:r>
    </w:p>
    <w:tbl>
      <w:tblPr>
        <w:tblW w:w="6790" w:type="dxa"/>
        <w:tblInd w:w="1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68"/>
        <w:gridCol w:w="4322"/>
      </w:tblGrid>
      <w:tr w:rsidR="009E008D" w:rsidRPr="006D389B" w14:paraId="2DAEEB5B" w14:textId="77777777" w:rsidTr="006D389B">
        <w:trPr>
          <w:trHeight w:val="558"/>
        </w:trPr>
        <w:tc>
          <w:tcPr>
            <w:tcW w:w="2468"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1CF8C236" w14:textId="77777777" w:rsidR="00C90874" w:rsidRPr="006D389B" w:rsidRDefault="009E008D" w:rsidP="006D389B">
            <w:pPr>
              <w:keepNext/>
              <w:tabs>
                <w:tab w:val="num" w:pos="522"/>
              </w:tabs>
              <w:jc w:val="center"/>
              <w:rPr>
                <w:rFonts w:ascii="Arial" w:hAnsi="Arial" w:cs="Arial"/>
                <w:b/>
                <w:szCs w:val="22"/>
              </w:rPr>
            </w:pPr>
            <w:r w:rsidRPr="006D389B">
              <w:rPr>
                <w:rFonts w:ascii="Arial" w:hAnsi="Arial" w:cs="Arial"/>
                <w:b/>
                <w:szCs w:val="22"/>
              </w:rPr>
              <w:t xml:space="preserve">Higher </w:t>
            </w:r>
            <w:r w:rsidR="00074522" w:rsidRPr="006D389B">
              <w:rPr>
                <w:rFonts w:ascii="Arial" w:hAnsi="Arial" w:cs="Arial"/>
                <w:b/>
                <w:szCs w:val="22"/>
              </w:rPr>
              <w:t>E</w:t>
            </w:r>
            <w:r w:rsidRPr="006D389B">
              <w:rPr>
                <w:rFonts w:ascii="Arial" w:hAnsi="Arial" w:cs="Arial"/>
                <w:b/>
                <w:szCs w:val="22"/>
              </w:rPr>
              <w:t>ducation</w:t>
            </w:r>
            <w:r w:rsidRPr="006D389B">
              <w:rPr>
                <w:rFonts w:ascii="Arial" w:hAnsi="Arial" w:cs="Arial"/>
                <w:b/>
                <w:szCs w:val="22"/>
              </w:rPr>
              <w:br/>
            </w:r>
            <w:r w:rsidR="00074522" w:rsidRPr="006D389B">
              <w:rPr>
                <w:rFonts w:ascii="Arial" w:hAnsi="Arial" w:cs="Arial"/>
                <w:b/>
                <w:szCs w:val="22"/>
              </w:rPr>
              <w:t>E</w:t>
            </w:r>
            <w:r w:rsidRPr="006D389B">
              <w:rPr>
                <w:rFonts w:ascii="Arial" w:hAnsi="Arial" w:cs="Arial"/>
                <w:b/>
                <w:szCs w:val="22"/>
              </w:rPr>
              <w:t xml:space="preserve">xpenses </w:t>
            </w:r>
            <w:r w:rsidR="00074522" w:rsidRPr="006D389B">
              <w:rPr>
                <w:rFonts w:ascii="Arial" w:hAnsi="Arial" w:cs="Arial"/>
                <w:b/>
                <w:szCs w:val="22"/>
              </w:rPr>
              <w:t>I</w:t>
            </w:r>
            <w:r w:rsidR="00C90874" w:rsidRPr="006D389B">
              <w:rPr>
                <w:rFonts w:ascii="Arial" w:hAnsi="Arial" w:cs="Arial"/>
                <w:b/>
                <w:szCs w:val="22"/>
              </w:rPr>
              <w:t>ncluding:</w:t>
            </w:r>
          </w:p>
        </w:tc>
        <w:tc>
          <w:tcPr>
            <w:tcW w:w="4322"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0E3F4E63" w14:textId="77777777" w:rsidR="00C90874" w:rsidRPr="006D389B" w:rsidRDefault="00C90874" w:rsidP="006D389B">
            <w:pPr>
              <w:keepNext/>
              <w:jc w:val="center"/>
              <w:rPr>
                <w:rFonts w:ascii="Arial" w:hAnsi="Arial" w:cs="Arial"/>
                <w:b/>
                <w:szCs w:val="22"/>
              </w:rPr>
            </w:pPr>
            <w:r w:rsidRPr="006D389B">
              <w:rPr>
                <w:rFonts w:ascii="Arial" w:hAnsi="Arial" w:cs="Arial"/>
                <w:b/>
                <w:szCs w:val="22"/>
              </w:rPr>
              <w:t>Elementary a</w:t>
            </w:r>
            <w:r w:rsidR="009E008D" w:rsidRPr="006D389B">
              <w:rPr>
                <w:rFonts w:ascii="Arial" w:hAnsi="Arial" w:cs="Arial"/>
                <w:b/>
                <w:szCs w:val="22"/>
              </w:rPr>
              <w:t xml:space="preserve">nd </w:t>
            </w:r>
            <w:r w:rsidR="00074522" w:rsidRPr="006D389B">
              <w:rPr>
                <w:rFonts w:ascii="Arial" w:hAnsi="Arial" w:cs="Arial"/>
                <w:b/>
                <w:szCs w:val="22"/>
              </w:rPr>
              <w:t>S</w:t>
            </w:r>
            <w:r w:rsidR="009E008D" w:rsidRPr="006D389B">
              <w:rPr>
                <w:rFonts w:ascii="Arial" w:hAnsi="Arial" w:cs="Arial"/>
                <w:b/>
                <w:szCs w:val="22"/>
              </w:rPr>
              <w:t>econdary</w:t>
            </w:r>
            <w:r w:rsidR="009E008D" w:rsidRPr="006D389B">
              <w:rPr>
                <w:rFonts w:ascii="Arial" w:hAnsi="Arial" w:cs="Arial"/>
                <w:b/>
                <w:szCs w:val="22"/>
              </w:rPr>
              <w:br/>
            </w:r>
            <w:r w:rsidR="00074522" w:rsidRPr="006D389B">
              <w:rPr>
                <w:rFonts w:ascii="Arial" w:hAnsi="Arial" w:cs="Arial"/>
                <w:b/>
                <w:szCs w:val="22"/>
              </w:rPr>
              <w:t>E</w:t>
            </w:r>
            <w:r w:rsidR="009E008D" w:rsidRPr="006D389B">
              <w:rPr>
                <w:rFonts w:ascii="Arial" w:hAnsi="Arial" w:cs="Arial"/>
                <w:b/>
                <w:szCs w:val="22"/>
              </w:rPr>
              <w:t xml:space="preserve">ducation </w:t>
            </w:r>
            <w:r w:rsidR="00074522" w:rsidRPr="006D389B">
              <w:rPr>
                <w:rFonts w:ascii="Arial" w:hAnsi="Arial" w:cs="Arial"/>
                <w:b/>
                <w:szCs w:val="22"/>
              </w:rPr>
              <w:t>E</w:t>
            </w:r>
            <w:r w:rsidR="009E008D" w:rsidRPr="006D389B">
              <w:rPr>
                <w:rFonts w:ascii="Arial" w:hAnsi="Arial" w:cs="Arial"/>
                <w:b/>
                <w:szCs w:val="22"/>
              </w:rPr>
              <w:t xml:space="preserve">xpenses </w:t>
            </w:r>
            <w:r w:rsidR="00074522" w:rsidRPr="006D389B">
              <w:rPr>
                <w:rFonts w:ascii="Arial" w:hAnsi="Arial" w:cs="Arial"/>
                <w:b/>
                <w:szCs w:val="22"/>
              </w:rPr>
              <w:t>I</w:t>
            </w:r>
            <w:r w:rsidRPr="006D389B">
              <w:rPr>
                <w:rFonts w:ascii="Arial" w:hAnsi="Arial" w:cs="Arial"/>
                <w:b/>
                <w:szCs w:val="22"/>
              </w:rPr>
              <w:t>ncluding:</w:t>
            </w:r>
          </w:p>
        </w:tc>
      </w:tr>
      <w:tr w:rsidR="009E008D" w:rsidRPr="006D389B" w14:paraId="5BB0B10C" w14:textId="77777777" w:rsidTr="006D389B">
        <w:trPr>
          <w:trHeight w:val="135"/>
        </w:trPr>
        <w:tc>
          <w:tcPr>
            <w:tcW w:w="2468" w:type="dxa"/>
            <w:tcBorders>
              <w:bottom w:val="single" w:sz="6" w:space="0" w:color="auto"/>
              <w:right w:val="single" w:sz="6" w:space="0" w:color="auto"/>
            </w:tcBorders>
          </w:tcPr>
          <w:p w14:paraId="2A87CF29" w14:textId="77777777" w:rsidR="009E008D" w:rsidRPr="009E008D" w:rsidRDefault="009E008D" w:rsidP="006D389B">
            <w:pPr>
              <w:pStyle w:val="wTableNormal"/>
              <w:ind w:left="522" w:right="80"/>
            </w:pPr>
            <w:r w:rsidRPr="009E008D">
              <w:t>Tuition</w:t>
            </w:r>
          </w:p>
        </w:tc>
        <w:tc>
          <w:tcPr>
            <w:tcW w:w="4322" w:type="dxa"/>
            <w:tcBorders>
              <w:left w:val="single" w:sz="6" w:space="0" w:color="auto"/>
              <w:bottom w:val="single" w:sz="6" w:space="0" w:color="auto"/>
            </w:tcBorders>
          </w:tcPr>
          <w:p w14:paraId="37232E36" w14:textId="77777777" w:rsidR="009E008D" w:rsidRPr="009E008D" w:rsidRDefault="009E008D" w:rsidP="006D389B">
            <w:pPr>
              <w:pStyle w:val="wTableNormal"/>
              <w:ind w:left="254"/>
            </w:pPr>
            <w:r w:rsidRPr="009E008D">
              <w:t>Tuition and fees</w:t>
            </w:r>
          </w:p>
        </w:tc>
      </w:tr>
      <w:tr w:rsidR="00C90874" w:rsidRPr="006D389B" w14:paraId="4B0B02D7" w14:textId="77777777" w:rsidTr="006D389B">
        <w:tc>
          <w:tcPr>
            <w:tcW w:w="2468" w:type="dxa"/>
            <w:tcBorders>
              <w:top w:val="single" w:sz="6" w:space="0" w:color="auto"/>
              <w:bottom w:val="single" w:sz="6" w:space="0" w:color="auto"/>
              <w:right w:val="single" w:sz="6" w:space="0" w:color="auto"/>
            </w:tcBorders>
          </w:tcPr>
          <w:p w14:paraId="2484F4A0" w14:textId="77777777" w:rsidR="00C90874" w:rsidRPr="009E008D" w:rsidRDefault="00C90874" w:rsidP="006D389B">
            <w:pPr>
              <w:pStyle w:val="wTableNormal"/>
              <w:ind w:left="522" w:right="80"/>
            </w:pPr>
            <w:r w:rsidRPr="009E008D">
              <w:t>Fees</w:t>
            </w:r>
          </w:p>
        </w:tc>
        <w:tc>
          <w:tcPr>
            <w:tcW w:w="4322" w:type="dxa"/>
            <w:tcBorders>
              <w:top w:val="single" w:sz="6" w:space="0" w:color="auto"/>
              <w:left w:val="single" w:sz="6" w:space="0" w:color="auto"/>
              <w:bottom w:val="single" w:sz="6" w:space="0" w:color="auto"/>
            </w:tcBorders>
          </w:tcPr>
          <w:p w14:paraId="1BA95ABF" w14:textId="77777777" w:rsidR="00C90874" w:rsidRPr="009E008D" w:rsidRDefault="00C90874" w:rsidP="006D389B">
            <w:pPr>
              <w:pStyle w:val="wTableNormal"/>
              <w:ind w:left="254"/>
            </w:pPr>
            <w:r w:rsidRPr="009E008D">
              <w:t>Academic tutoring</w:t>
            </w:r>
          </w:p>
        </w:tc>
      </w:tr>
      <w:tr w:rsidR="00C90874" w:rsidRPr="006D389B" w14:paraId="6E4B8671" w14:textId="77777777" w:rsidTr="006D389B">
        <w:tc>
          <w:tcPr>
            <w:tcW w:w="2468" w:type="dxa"/>
            <w:tcBorders>
              <w:top w:val="single" w:sz="6" w:space="0" w:color="auto"/>
              <w:bottom w:val="single" w:sz="6" w:space="0" w:color="auto"/>
              <w:right w:val="single" w:sz="6" w:space="0" w:color="auto"/>
            </w:tcBorders>
          </w:tcPr>
          <w:p w14:paraId="0078C774" w14:textId="77777777" w:rsidR="00C90874" w:rsidRPr="009E008D" w:rsidRDefault="00C90874" w:rsidP="006D389B">
            <w:pPr>
              <w:pStyle w:val="wTableNormal"/>
              <w:ind w:left="522" w:right="80"/>
            </w:pPr>
            <w:r w:rsidRPr="009E008D">
              <w:t>Books</w:t>
            </w:r>
          </w:p>
        </w:tc>
        <w:tc>
          <w:tcPr>
            <w:tcW w:w="4322" w:type="dxa"/>
            <w:tcBorders>
              <w:top w:val="single" w:sz="6" w:space="0" w:color="auto"/>
              <w:left w:val="single" w:sz="6" w:space="0" w:color="auto"/>
              <w:bottom w:val="single" w:sz="6" w:space="0" w:color="auto"/>
            </w:tcBorders>
          </w:tcPr>
          <w:p w14:paraId="34885C59" w14:textId="77777777" w:rsidR="00C90874" w:rsidRPr="009E008D" w:rsidRDefault="00C90874" w:rsidP="006D389B">
            <w:pPr>
              <w:pStyle w:val="wTableNormal"/>
              <w:ind w:left="254"/>
            </w:pPr>
            <w:r w:rsidRPr="009E008D">
              <w:t>Special needs services</w:t>
            </w:r>
          </w:p>
        </w:tc>
      </w:tr>
      <w:tr w:rsidR="00C90874" w:rsidRPr="006D389B" w14:paraId="3AB4BBCF" w14:textId="77777777" w:rsidTr="006D389B">
        <w:tc>
          <w:tcPr>
            <w:tcW w:w="2468" w:type="dxa"/>
            <w:tcBorders>
              <w:top w:val="single" w:sz="6" w:space="0" w:color="auto"/>
              <w:bottom w:val="single" w:sz="6" w:space="0" w:color="auto"/>
              <w:right w:val="single" w:sz="6" w:space="0" w:color="auto"/>
            </w:tcBorders>
          </w:tcPr>
          <w:p w14:paraId="627186A9" w14:textId="77777777" w:rsidR="00C90874" w:rsidRPr="009E008D" w:rsidRDefault="00C90874" w:rsidP="006D389B">
            <w:pPr>
              <w:pStyle w:val="wTableNormal"/>
              <w:ind w:left="522" w:right="80"/>
            </w:pPr>
            <w:r w:rsidRPr="009E008D">
              <w:t>Supplies</w:t>
            </w:r>
          </w:p>
        </w:tc>
        <w:tc>
          <w:tcPr>
            <w:tcW w:w="4322" w:type="dxa"/>
            <w:tcBorders>
              <w:top w:val="single" w:sz="6" w:space="0" w:color="auto"/>
              <w:left w:val="single" w:sz="6" w:space="0" w:color="auto"/>
              <w:bottom w:val="single" w:sz="6" w:space="0" w:color="auto"/>
            </w:tcBorders>
          </w:tcPr>
          <w:p w14:paraId="3847EF51" w14:textId="77777777" w:rsidR="00C90874" w:rsidRPr="009E008D" w:rsidRDefault="00C90874" w:rsidP="006D389B">
            <w:pPr>
              <w:pStyle w:val="wTableNormal"/>
              <w:ind w:left="254"/>
            </w:pPr>
            <w:r w:rsidRPr="009E008D">
              <w:t>Books, supplies &amp; other needed equipment</w:t>
            </w:r>
          </w:p>
        </w:tc>
      </w:tr>
      <w:tr w:rsidR="00C90874" w:rsidRPr="006D389B" w14:paraId="1214E593" w14:textId="77777777" w:rsidTr="006D389B">
        <w:tc>
          <w:tcPr>
            <w:tcW w:w="2468" w:type="dxa"/>
            <w:tcBorders>
              <w:top w:val="single" w:sz="6" w:space="0" w:color="auto"/>
              <w:bottom w:val="single" w:sz="6" w:space="0" w:color="auto"/>
              <w:right w:val="single" w:sz="6" w:space="0" w:color="auto"/>
            </w:tcBorders>
          </w:tcPr>
          <w:p w14:paraId="4295D5AE" w14:textId="77777777" w:rsidR="00C90874" w:rsidRPr="009E008D" w:rsidRDefault="00CF4E1A" w:rsidP="006D389B">
            <w:pPr>
              <w:pStyle w:val="wTableNormal"/>
              <w:ind w:left="522" w:right="80"/>
            </w:pPr>
            <w:r w:rsidRPr="009E008D">
              <w:t>Equipment</w:t>
            </w:r>
          </w:p>
        </w:tc>
        <w:tc>
          <w:tcPr>
            <w:tcW w:w="4322" w:type="dxa"/>
            <w:tcBorders>
              <w:top w:val="single" w:sz="6" w:space="0" w:color="auto"/>
              <w:left w:val="single" w:sz="6" w:space="0" w:color="auto"/>
              <w:bottom w:val="single" w:sz="6" w:space="0" w:color="auto"/>
            </w:tcBorders>
          </w:tcPr>
          <w:p w14:paraId="09335A1E" w14:textId="77777777" w:rsidR="00C90874" w:rsidRPr="009E008D" w:rsidRDefault="00C90874" w:rsidP="006D389B">
            <w:pPr>
              <w:pStyle w:val="wTableNormal"/>
              <w:ind w:left="254"/>
            </w:pPr>
            <w:r w:rsidRPr="009E008D">
              <w:t>Uniforms &amp; transportation</w:t>
            </w:r>
          </w:p>
        </w:tc>
      </w:tr>
      <w:tr w:rsidR="00C90874" w:rsidRPr="006D389B" w14:paraId="72E5B4B7" w14:textId="77777777" w:rsidTr="006D389B">
        <w:tc>
          <w:tcPr>
            <w:tcW w:w="2468" w:type="dxa"/>
            <w:tcBorders>
              <w:top w:val="single" w:sz="6" w:space="0" w:color="auto"/>
              <w:right w:val="single" w:sz="6" w:space="0" w:color="auto"/>
            </w:tcBorders>
          </w:tcPr>
          <w:p w14:paraId="46B8067A" w14:textId="77777777" w:rsidR="00C90874" w:rsidRPr="009E008D" w:rsidRDefault="00CF4E1A" w:rsidP="006D389B">
            <w:pPr>
              <w:pStyle w:val="wTableNormal"/>
              <w:ind w:left="522" w:right="80"/>
            </w:pPr>
            <w:r w:rsidRPr="009E008D">
              <w:t>Room and board</w:t>
            </w:r>
          </w:p>
        </w:tc>
        <w:tc>
          <w:tcPr>
            <w:tcW w:w="4322" w:type="dxa"/>
            <w:tcBorders>
              <w:top w:val="single" w:sz="6" w:space="0" w:color="auto"/>
              <w:left w:val="single" w:sz="6" w:space="0" w:color="auto"/>
            </w:tcBorders>
          </w:tcPr>
          <w:p w14:paraId="1CDD5A80" w14:textId="77777777" w:rsidR="00C90874" w:rsidRPr="009E008D" w:rsidRDefault="00C90874" w:rsidP="006D389B">
            <w:pPr>
              <w:pStyle w:val="wTableNormal"/>
              <w:ind w:left="254"/>
            </w:pPr>
            <w:r w:rsidRPr="009E008D">
              <w:t>Other supplementary items &amp; services</w:t>
            </w:r>
          </w:p>
        </w:tc>
      </w:tr>
    </w:tbl>
    <w:p w14:paraId="7152D6F9" w14:textId="77777777" w:rsidR="00C31A5B" w:rsidRDefault="00C31A5B" w:rsidP="00CF48D6">
      <w:pPr>
        <w:spacing w:before="120"/>
        <w:rPr>
          <w:szCs w:val="22"/>
        </w:rPr>
      </w:pPr>
      <w:r>
        <w:rPr>
          <w:szCs w:val="22"/>
        </w:rPr>
        <w:t>In addition,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Pr>
          <w:szCs w:val="22"/>
        </w:rPr>
        <w:t xml:space="preserve"> include amounts contributed to a qualified tuition program.</w:t>
      </w:r>
    </w:p>
    <w:p w14:paraId="120E1076" w14:textId="77777777" w:rsidR="00434CE0" w:rsidRPr="000B485C" w:rsidRDefault="00434CE0" w:rsidP="00825E0B">
      <w:pPr>
        <w:rPr>
          <w:szCs w:val="22"/>
        </w:rPr>
      </w:pPr>
      <w:r w:rsidRPr="000B485C">
        <w:rPr>
          <w:szCs w:val="22"/>
        </w:rPr>
        <w:t xml:space="preserve">The term </w:t>
      </w:r>
      <w:r w:rsidR="00297ACB">
        <w:rPr>
          <w:szCs w:val="22"/>
        </w:rPr>
        <w:t>“</w:t>
      </w:r>
      <w:r w:rsidRPr="000B485C">
        <w:rPr>
          <w:szCs w:val="22"/>
        </w:rPr>
        <w:t>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00297ACB">
        <w:rPr>
          <w:szCs w:val="22"/>
        </w:rPr>
        <w:t>”</w:t>
      </w:r>
      <w:r w:rsidRPr="000B485C">
        <w:rPr>
          <w:szCs w:val="22"/>
        </w:rPr>
        <w:t xml:space="preserve"> seems to cover most of the expenses that a student is likely to encounter, including tuition, fees, books, supplies and, as long as the student is enrolled at least half-time, room and board.</w:t>
      </w:r>
    </w:p>
    <w:p w14:paraId="409A380A" w14:textId="77777777" w:rsidR="00CD1AAF" w:rsidRDefault="00CD1AAF" w:rsidP="00CD1AAF">
      <w:pPr>
        <w:pStyle w:val="Heading4"/>
      </w:pPr>
      <w:bookmarkStart w:id="138" w:name="_Toc404357213"/>
      <w:r>
        <w:t>Eligible Educational Institution</w:t>
      </w:r>
      <w:bookmarkEnd w:id="138"/>
    </w:p>
    <w:p w14:paraId="7764A1CF" w14:textId="77777777" w:rsidR="00434CE0" w:rsidRPr="000B485C" w:rsidRDefault="00434CE0" w:rsidP="00825E0B">
      <w:pPr>
        <w:rPr>
          <w:i/>
          <w:szCs w:val="22"/>
        </w:rPr>
      </w:pPr>
      <w:r w:rsidRPr="000B485C">
        <w:rPr>
          <w:szCs w:val="22"/>
        </w:rPr>
        <w:t xml:space="preserve">According to the </w:t>
      </w:r>
      <w:r w:rsidR="005C7876">
        <w:rPr>
          <w:szCs w:val="22"/>
        </w:rPr>
        <w:t>ESA</w:t>
      </w:r>
      <w:r w:rsidRPr="000B485C">
        <w:rPr>
          <w:szCs w:val="22"/>
        </w:rPr>
        <w:t xml:space="preserve"> rules, these expenses must be incurred in an eligible educational inst</w:t>
      </w:r>
      <w:r w:rsidR="00C31A5B">
        <w:rPr>
          <w:szCs w:val="22"/>
        </w:rPr>
        <w:t>itution</w:t>
      </w:r>
      <w:r w:rsidR="00A95039">
        <w:rPr>
          <w:szCs w:val="22"/>
        </w:rPr>
        <w:fldChar w:fldCharType="begin"/>
      </w:r>
      <w:r w:rsidR="00500F1D">
        <w:instrText xml:space="preserve"> XE "</w:instrText>
      </w:r>
      <w:r w:rsidR="00500F1D" w:rsidRPr="00CD56BD">
        <w:rPr>
          <w:szCs w:val="22"/>
        </w:rPr>
        <w:instrText>eligible educational institution</w:instrText>
      </w:r>
      <w:r w:rsidR="00500F1D">
        <w:instrText xml:space="preserve">" </w:instrText>
      </w:r>
      <w:r w:rsidR="00A95039">
        <w:rPr>
          <w:szCs w:val="22"/>
        </w:rPr>
        <w:fldChar w:fldCharType="end"/>
      </w:r>
      <w:r w:rsidR="00C31A5B">
        <w:rPr>
          <w:szCs w:val="22"/>
        </w:rPr>
        <w:t>.</w:t>
      </w:r>
      <w:r w:rsidR="00297ACB">
        <w:rPr>
          <w:szCs w:val="22"/>
        </w:rPr>
        <w:t xml:space="preserve"> </w:t>
      </w:r>
      <w:r w:rsidR="00C31A5B">
        <w:rPr>
          <w:szCs w:val="22"/>
        </w:rPr>
        <w:t>A</w:t>
      </w:r>
      <w:r w:rsidRPr="000B485C">
        <w:rPr>
          <w:szCs w:val="22"/>
        </w:rPr>
        <w:t xml:space="preserve">n </w:t>
      </w:r>
      <w:r w:rsidR="00297ACB">
        <w:rPr>
          <w:szCs w:val="22"/>
        </w:rPr>
        <w:t>“</w:t>
      </w:r>
      <w:r w:rsidRPr="000B485C">
        <w:rPr>
          <w:szCs w:val="22"/>
        </w:rPr>
        <w:t>eligible educational institution</w:t>
      </w:r>
      <w:r w:rsidR="00297ACB">
        <w:rPr>
          <w:szCs w:val="22"/>
        </w:rPr>
        <w:t>”</w:t>
      </w:r>
      <w:r w:rsidRPr="000B485C">
        <w:rPr>
          <w:szCs w:val="22"/>
        </w:rPr>
        <w:t xml:space="preserve"> </w:t>
      </w:r>
      <w:r w:rsidR="00C31A5B">
        <w:rPr>
          <w:szCs w:val="22"/>
        </w:rPr>
        <w:t>is any:</w:t>
      </w:r>
    </w:p>
    <w:p w14:paraId="6AA07BA8" w14:textId="77777777" w:rsidR="000B4F60" w:rsidRPr="000B4F60" w:rsidRDefault="000B4F60" w:rsidP="007A5E54">
      <w:pPr>
        <w:numPr>
          <w:ilvl w:val="0"/>
          <w:numId w:val="21"/>
        </w:numPr>
        <w:contextualSpacing/>
      </w:pPr>
      <w:r w:rsidRPr="000B4F60">
        <w:t>College</w:t>
      </w:r>
      <w:r w:rsidR="0053362F">
        <w:t>;</w:t>
      </w:r>
    </w:p>
    <w:p w14:paraId="29B4C6CE" w14:textId="77777777" w:rsidR="000B4F60" w:rsidRPr="000B4F60" w:rsidRDefault="000B4F60" w:rsidP="007A5E54">
      <w:pPr>
        <w:numPr>
          <w:ilvl w:val="0"/>
          <w:numId w:val="21"/>
        </w:numPr>
        <w:contextualSpacing/>
      </w:pPr>
      <w:r w:rsidRPr="000B4F60">
        <w:t>Vocational school</w:t>
      </w:r>
      <w:r w:rsidR="0053362F">
        <w:t>;</w:t>
      </w:r>
    </w:p>
    <w:p w14:paraId="173BA075" w14:textId="77777777" w:rsidR="000B4F60" w:rsidRPr="000B4F60" w:rsidRDefault="000B4F60" w:rsidP="007A5E54">
      <w:pPr>
        <w:numPr>
          <w:ilvl w:val="0"/>
          <w:numId w:val="21"/>
        </w:numPr>
        <w:contextualSpacing/>
      </w:pPr>
      <w:r w:rsidRPr="000B4F60">
        <w:t>University</w:t>
      </w:r>
      <w:r w:rsidR="0053362F">
        <w:t>; or</w:t>
      </w:r>
    </w:p>
    <w:p w14:paraId="65877740" w14:textId="77777777" w:rsidR="000B4F60" w:rsidRPr="000B4F60" w:rsidRDefault="000B4F60" w:rsidP="007A5E54">
      <w:pPr>
        <w:numPr>
          <w:ilvl w:val="0"/>
          <w:numId w:val="21"/>
        </w:numPr>
      </w:pPr>
      <w:r w:rsidRPr="000B4F60">
        <w:t>Other elementary, secondary or postsecondary institution</w:t>
      </w:r>
      <w:r w:rsidR="0053362F">
        <w:t>.</w:t>
      </w:r>
    </w:p>
    <w:p w14:paraId="18F6CEC9" w14:textId="77777777" w:rsidR="00434CE0" w:rsidRPr="000B485C" w:rsidRDefault="00434CE0" w:rsidP="0053362F">
      <w:pPr>
        <w:spacing w:before="120"/>
        <w:rPr>
          <w:szCs w:val="22"/>
        </w:rPr>
      </w:pPr>
      <w:r w:rsidRPr="000B485C">
        <w:rPr>
          <w:szCs w:val="22"/>
        </w:rPr>
        <w:t xml:space="preserve">The definition of </w:t>
      </w:r>
      <w:r w:rsidR="00297ACB">
        <w:rPr>
          <w:szCs w:val="22"/>
        </w:rPr>
        <w:t>“</w:t>
      </w:r>
      <w:r w:rsidRPr="000B485C">
        <w:rPr>
          <w:szCs w:val="22"/>
        </w:rPr>
        <w:t>eligible educational institution</w:t>
      </w:r>
      <w:r w:rsidR="00A95039">
        <w:rPr>
          <w:szCs w:val="22"/>
        </w:rPr>
        <w:fldChar w:fldCharType="begin"/>
      </w:r>
      <w:r w:rsidR="00500F1D">
        <w:instrText xml:space="preserve"> XE "</w:instrText>
      </w:r>
      <w:r w:rsidR="00500F1D" w:rsidRPr="00CD56BD">
        <w:rPr>
          <w:szCs w:val="22"/>
        </w:rPr>
        <w:instrText>eligible educational institution</w:instrText>
      </w:r>
      <w:r w:rsidR="00500F1D">
        <w:instrText xml:space="preserve">" </w:instrText>
      </w:r>
      <w:r w:rsidR="00A95039">
        <w:rPr>
          <w:szCs w:val="22"/>
        </w:rPr>
        <w:fldChar w:fldCharType="end"/>
      </w:r>
      <w:r w:rsidR="00297ACB">
        <w:rPr>
          <w:szCs w:val="22"/>
        </w:rPr>
        <w:t>”</w:t>
      </w:r>
      <w:r w:rsidRPr="000B485C">
        <w:rPr>
          <w:szCs w:val="22"/>
        </w:rPr>
        <w:t xml:space="preserve"> is remarkably broad and covers virtually all accredited public, nonprofi</w:t>
      </w:r>
      <w:r w:rsidR="00C31A5B">
        <w:rPr>
          <w:szCs w:val="22"/>
        </w:rPr>
        <w:t>t and proprietary educational</w:t>
      </w:r>
      <w:r w:rsidRPr="000B485C">
        <w:rPr>
          <w:szCs w:val="22"/>
        </w:rPr>
        <w:t xml:space="preserve"> institutions.</w:t>
      </w:r>
    </w:p>
    <w:p w14:paraId="4F67A426" w14:textId="77777777" w:rsidR="00CD1AAF" w:rsidRDefault="00CD1AAF" w:rsidP="00CD1AAF">
      <w:pPr>
        <w:pStyle w:val="Heading3"/>
      </w:pPr>
      <w:bookmarkStart w:id="139" w:name="_Toc404357214"/>
      <w:r>
        <w:t>Taxation of Excess ESA Distributions</w:t>
      </w:r>
      <w:bookmarkEnd w:id="139"/>
    </w:p>
    <w:p w14:paraId="5611294F" w14:textId="77777777" w:rsidR="00434CE0" w:rsidRPr="000B485C" w:rsidRDefault="00314EB8" w:rsidP="00825E0B">
      <w:pPr>
        <w:rPr>
          <w:szCs w:val="22"/>
        </w:rPr>
      </w:pPr>
      <w:r>
        <w:rPr>
          <w:szCs w:val="22"/>
        </w:rPr>
        <w:t>D</w:t>
      </w:r>
      <w:r w:rsidR="00434CE0" w:rsidRPr="000B485C">
        <w:rPr>
          <w:szCs w:val="22"/>
        </w:rPr>
        <w:t xml:space="preserve">istributions </w:t>
      </w:r>
      <w:r w:rsidR="001A34B0">
        <w:rPr>
          <w:szCs w:val="22"/>
        </w:rPr>
        <w:t xml:space="preserve">of gain </w:t>
      </w:r>
      <w:r w:rsidR="00434CE0" w:rsidRPr="000B485C">
        <w:rPr>
          <w:szCs w:val="22"/>
        </w:rPr>
        <w:t xml:space="preserve">from an </w:t>
      </w:r>
      <w:r w:rsidR="005C7876">
        <w:rPr>
          <w:szCs w:val="22"/>
        </w:rPr>
        <w:t>ESA</w:t>
      </w:r>
      <w:r w:rsidR="00434CE0" w:rsidRPr="000B485C">
        <w:rPr>
          <w:szCs w:val="22"/>
        </w:rPr>
        <w:t xml:space="preserve"> may be includible in the recipient’s income if </w:t>
      </w:r>
      <w:r w:rsidR="00526BC0">
        <w:rPr>
          <w:szCs w:val="22"/>
        </w:rPr>
        <w:t>the</w:t>
      </w:r>
      <w:r w:rsidR="001A34B0">
        <w:rPr>
          <w:szCs w:val="22"/>
        </w:rPr>
        <w:t xml:space="preserve"> distributions</w:t>
      </w:r>
      <w:r w:rsidR="00526BC0">
        <w:rPr>
          <w:szCs w:val="22"/>
        </w:rPr>
        <w:t xml:space="preserve"> are not used solely for</w:t>
      </w:r>
      <w:r w:rsidR="00434CE0" w:rsidRPr="000B485C">
        <w:rPr>
          <w:szCs w:val="22"/>
        </w:rPr>
        <w:t xml:space="preserve">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00434CE0" w:rsidRPr="000B485C">
        <w:rPr>
          <w:szCs w:val="22"/>
        </w:rPr>
        <w:t xml:space="preserve"> for a designated beneficiary.</w:t>
      </w:r>
      <w:r w:rsidR="00297ACB">
        <w:rPr>
          <w:szCs w:val="22"/>
        </w:rPr>
        <w:t xml:space="preserve"> </w:t>
      </w:r>
      <w:r w:rsidR="00434CE0" w:rsidRPr="000B485C">
        <w:rPr>
          <w:szCs w:val="22"/>
        </w:rPr>
        <w:t>One of the ways that</w:t>
      </w:r>
      <w:r w:rsidR="00526BC0">
        <w:rPr>
          <w:szCs w:val="22"/>
        </w:rPr>
        <w:t xml:space="preserve"> a distribution would be includi</w:t>
      </w:r>
      <w:r w:rsidR="00434CE0" w:rsidRPr="000B485C">
        <w:rPr>
          <w:szCs w:val="22"/>
        </w:rPr>
        <w:t xml:space="preserve">ble in income is if the distribution exceeded the </w:t>
      </w:r>
      <w:r w:rsidR="00526BC0">
        <w:rPr>
          <w:szCs w:val="22"/>
        </w:rPr>
        <w:t xml:space="preserve">designated beneficiary’s </w:t>
      </w:r>
      <w:r w:rsidR="00434CE0" w:rsidRPr="000B485C">
        <w:rPr>
          <w:szCs w:val="22"/>
        </w:rPr>
        <w:lastRenderedPageBreak/>
        <w:t>qualified education expense</w:t>
      </w:r>
      <w:r w:rsidR="00526BC0">
        <w:rPr>
          <w:szCs w:val="22"/>
        </w:rPr>
        <w:t xml:space="preserve">s </w:t>
      </w:r>
      <w:r w:rsidR="00434CE0" w:rsidRPr="000B485C">
        <w:rPr>
          <w:szCs w:val="22"/>
        </w:rPr>
        <w:t>for the year.</w:t>
      </w:r>
      <w:r w:rsidR="00297ACB">
        <w:rPr>
          <w:szCs w:val="22"/>
        </w:rPr>
        <w:t xml:space="preserve"> </w:t>
      </w:r>
      <w:r w:rsidR="00526BC0">
        <w:rPr>
          <w:szCs w:val="22"/>
        </w:rPr>
        <w:t xml:space="preserve">In such a case, </w:t>
      </w:r>
      <w:r w:rsidR="001A34B0">
        <w:rPr>
          <w:szCs w:val="22"/>
        </w:rPr>
        <w:t xml:space="preserve">part of the distributed gain would be </w:t>
      </w:r>
      <w:r w:rsidR="00526BC0">
        <w:rPr>
          <w:szCs w:val="22"/>
        </w:rPr>
        <w:t>includible.</w:t>
      </w:r>
    </w:p>
    <w:p w14:paraId="6B6A9DEE" w14:textId="77777777" w:rsidR="00434CE0" w:rsidRPr="000B485C" w:rsidRDefault="00434CE0" w:rsidP="00825E0B">
      <w:pPr>
        <w:rPr>
          <w:szCs w:val="22"/>
        </w:rPr>
      </w:pPr>
      <w:r w:rsidRPr="000B485C">
        <w:rPr>
          <w:szCs w:val="22"/>
        </w:rPr>
        <w:t xml:space="preserve">In order to understand how the </w:t>
      </w:r>
      <w:r w:rsidR="001A34B0">
        <w:rPr>
          <w:szCs w:val="22"/>
        </w:rPr>
        <w:t>gain in an excess distribution would be taxed, let’s look at an example. Suppose a</w:t>
      </w:r>
      <w:r w:rsidRPr="000B485C">
        <w:rPr>
          <w:szCs w:val="22"/>
        </w:rPr>
        <w:t xml:space="preserve"> beneficiary took a $6,000 distribution from the </w:t>
      </w:r>
      <w:r w:rsidR="005C7876">
        <w:rPr>
          <w:szCs w:val="22"/>
        </w:rPr>
        <w:t>ESA</w:t>
      </w:r>
      <w:r w:rsidRPr="000B485C">
        <w:rPr>
          <w:szCs w:val="22"/>
        </w:rPr>
        <w:t xml:space="preserve"> during the year.</w:t>
      </w:r>
      <w:r w:rsidR="00297ACB">
        <w:rPr>
          <w:szCs w:val="22"/>
        </w:rPr>
        <w:t xml:space="preserve"> </w:t>
      </w:r>
      <w:r w:rsidRPr="000B485C">
        <w:rPr>
          <w:szCs w:val="22"/>
        </w:rPr>
        <w:t>Instead of spending the entire $6,000 on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Pr="000B485C">
        <w:rPr>
          <w:szCs w:val="22"/>
        </w:rPr>
        <w:t>, his expenses only amounted to $4,500.</w:t>
      </w:r>
      <w:r w:rsidR="00297ACB">
        <w:rPr>
          <w:szCs w:val="22"/>
        </w:rPr>
        <w:t xml:space="preserve"> </w:t>
      </w:r>
      <w:r w:rsidRPr="000B485C">
        <w:rPr>
          <w:szCs w:val="22"/>
        </w:rPr>
        <w:t xml:space="preserve">Let’s further assume that the total contributions to the </w:t>
      </w:r>
      <w:r w:rsidR="005C7876">
        <w:rPr>
          <w:szCs w:val="22"/>
        </w:rPr>
        <w:t>ESA</w:t>
      </w:r>
      <w:r w:rsidRPr="000B485C">
        <w:rPr>
          <w:szCs w:val="22"/>
        </w:rPr>
        <w:t xml:space="preserve"> were $4,000.</w:t>
      </w:r>
      <w:r w:rsidR="00297ACB">
        <w:rPr>
          <w:szCs w:val="22"/>
        </w:rPr>
        <w:t xml:space="preserve"> </w:t>
      </w:r>
      <w:r w:rsidRPr="000B485C">
        <w:rPr>
          <w:szCs w:val="22"/>
        </w:rPr>
        <w:t>The first step in determining the tax</w:t>
      </w:r>
      <w:r w:rsidR="00526BC0">
        <w:rPr>
          <w:szCs w:val="22"/>
        </w:rPr>
        <w:t>able portion of the distribution</w:t>
      </w:r>
      <w:r w:rsidRPr="000B485C">
        <w:rPr>
          <w:szCs w:val="22"/>
        </w:rPr>
        <w:t xml:space="preserve"> is to calculate the amount that would ordinarily be subject to tax.</w:t>
      </w:r>
      <w:r w:rsidR="00297ACB">
        <w:rPr>
          <w:szCs w:val="22"/>
        </w:rPr>
        <w:t xml:space="preserve"> </w:t>
      </w:r>
      <w:r w:rsidRPr="000B485C">
        <w:rPr>
          <w:szCs w:val="22"/>
        </w:rPr>
        <w:t xml:space="preserve">That would be the $6,000 distribution </w:t>
      </w:r>
      <w:r w:rsidRPr="000B485C">
        <w:rPr>
          <w:i/>
          <w:szCs w:val="22"/>
        </w:rPr>
        <w:t>less</w:t>
      </w:r>
      <w:r w:rsidRPr="000B485C">
        <w:rPr>
          <w:szCs w:val="22"/>
        </w:rPr>
        <w:t xml:space="preserve"> the $4,000 investment in the contract.</w:t>
      </w:r>
      <w:r w:rsidR="00297ACB">
        <w:rPr>
          <w:szCs w:val="22"/>
        </w:rPr>
        <w:t xml:space="preserve"> </w:t>
      </w:r>
      <w:r w:rsidRPr="000B485C">
        <w:rPr>
          <w:szCs w:val="22"/>
        </w:rPr>
        <w:t>The result of that first calculation is $2,000.</w:t>
      </w:r>
    </w:p>
    <w:p w14:paraId="74399251" w14:textId="77777777" w:rsidR="00434CE0" w:rsidRPr="000B485C" w:rsidRDefault="00434CE0" w:rsidP="00825E0B">
      <w:pPr>
        <w:rPr>
          <w:szCs w:val="22"/>
        </w:rPr>
      </w:pPr>
      <w:r w:rsidRPr="000B485C">
        <w:rPr>
          <w:szCs w:val="22"/>
        </w:rPr>
        <w:t>The second step in our determining the tax</w:t>
      </w:r>
      <w:r w:rsidR="00526BC0">
        <w:rPr>
          <w:szCs w:val="22"/>
        </w:rPr>
        <w:t>able portion of the distribution</w:t>
      </w:r>
      <w:r w:rsidRPr="000B485C">
        <w:rPr>
          <w:szCs w:val="22"/>
        </w:rPr>
        <w:t xml:space="preserve"> is to determine the ratio of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Pr="000B485C">
        <w:rPr>
          <w:szCs w:val="22"/>
        </w:rPr>
        <w:t xml:space="preserve"> to the total distributions.</w:t>
      </w:r>
      <w:r w:rsidR="00297ACB">
        <w:rPr>
          <w:szCs w:val="22"/>
        </w:rPr>
        <w:t xml:space="preserve"> </w:t>
      </w:r>
      <w:r w:rsidR="00526BC0">
        <w:rPr>
          <w:szCs w:val="22"/>
        </w:rPr>
        <w:t>That is done</w:t>
      </w:r>
      <w:r w:rsidRPr="000B485C">
        <w:rPr>
          <w:szCs w:val="22"/>
        </w:rPr>
        <w:t xml:space="preserve"> by dividing the expenses</w:t>
      </w:r>
      <w:r w:rsidR="00526BC0">
        <w:rPr>
          <w:szCs w:val="22"/>
        </w:rPr>
        <w:t>—in this case,</w:t>
      </w:r>
      <w:r w:rsidRPr="000B485C">
        <w:rPr>
          <w:szCs w:val="22"/>
        </w:rPr>
        <w:t xml:space="preserve"> $4,500</w:t>
      </w:r>
      <w:r w:rsidR="00526BC0">
        <w:rPr>
          <w:szCs w:val="22"/>
        </w:rPr>
        <w:t>—</w:t>
      </w:r>
      <w:r w:rsidRPr="000B485C">
        <w:rPr>
          <w:szCs w:val="22"/>
        </w:rPr>
        <w:t>by the distribution ($6,000).</w:t>
      </w:r>
      <w:r w:rsidR="00297ACB">
        <w:rPr>
          <w:szCs w:val="22"/>
        </w:rPr>
        <w:t xml:space="preserve"> </w:t>
      </w:r>
      <w:r w:rsidR="0085398F">
        <w:rPr>
          <w:szCs w:val="22"/>
        </w:rPr>
        <w:t>T</w:t>
      </w:r>
      <w:r w:rsidRPr="000B485C">
        <w:rPr>
          <w:szCs w:val="22"/>
        </w:rPr>
        <w:t>he result is .75 ($4,500</w:t>
      </w:r>
      <w:r w:rsidR="0085398F">
        <w:rPr>
          <w:szCs w:val="22"/>
        </w:rPr>
        <w:t xml:space="preserve"> ÷ </w:t>
      </w:r>
      <w:r w:rsidRPr="000B485C">
        <w:rPr>
          <w:szCs w:val="22"/>
        </w:rPr>
        <w:t>$6,000 = .75).</w:t>
      </w:r>
    </w:p>
    <w:p w14:paraId="5FAF2C21" w14:textId="77777777" w:rsidR="00434CE0" w:rsidRPr="000B485C" w:rsidRDefault="00434CE0" w:rsidP="00825E0B">
      <w:pPr>
        <w:rPr>
          <w:szCs w:val="22"/>
        </w:rPr>
      </w:pPr>
      <w:r w:rsidRPr="000B485C">
        <w:rPr>
          <w:szCs w:val="22"/>
        </w:rPr>
        <w:t>The third step is to multiply the result of the first calculation ($2,000) by the result of the second calculation (.75).</w:t>
      </w:r>
      <w:r w:rsidR="00297ACB">
        <w:rPr>
          <w:szCs w:val="22"/>
        </w:rPr>
        <w:t xml:space="preserve"> </w:t>
      </w:r>
      <w:r w:rsidRPr="000B485C">
        <w:rPr>
          <w:szCs w:val="22"/>
        </w:rPr>
        <w:t>That calculation yields $1,500, which is the amount of the excess distribution which is tax-free as a return of the investment in the contract.</w:t>
      </w:r>
    </w:p>
    <w:p w14:paraId="5E3CCDD2" w14:textId="77777777" w:rsidR="00434CE0" w:rsidRDefault="00434CE0" w:rsidP="00825E0B">
      <w:pPr>
        <w:rPr>
          <w:szCs w:val="22"/>
        </w:rPr>
      </w:pPr>
      <w:r w:rsidRPr="000B485C">
        <w:rPr>
          <w:szCs w:val="22"/>
        </w:rPr>
        <w:t xml:space="preserve">The fourth, and final, step is to subtract the amount </w:t>
      </w:r>
      <w:r w:rsidR="0085398F">
        <w:rPr>
          <w:szCs w:val="22"/>
        </w:rPr>
        <w:t xml:space="preserve">of the gain </w:t>
      </w:r>
      <w:r w:rsidRPr="000B485C">
        <w:rPr>
          <w:szCs w:val="22"/>
        </w:rPr>
        <w:t xml:space="preserve">that is received tax-free ($1,500) from the </w:t>
      </w:r>
      <w:r w:rsidR="0085398F">
        <w:rPr>
          <w:szCs w:val="22"/>
        </w:rPr>
        <w:t>distributed gain</w:t>
      </w:r>
      <w:r w:rsidRPr="000B485C">
        <w:rPr>
          <w:szCs w:val="22"/>
        </w:rPr>
        <w:t xml:space="preserve"> ($2,000).</w:t>
      </w:r>
      <w:r w:rsidR="00297ACB">
        <w:rPr>
          <w:szCs w:val="22"/>
        </w:rPr>
        <w:t xml:space="preserve"> </w:t>
      </w:r>
      <w:r w:rsidRPr="000B485C">
        <w:rPr>
          <w:szCs w:val="22"/>
        </w:rPr>
        <w:t>The result</w:t>
      </w:r>
      <w:r w:rsidR="00526BC0">
        <w:rPr>
          <w:szCs w:val="22"/>
        </w:rPr>
        <w:t>, i.e.</w:t>
      </w:r>
      <w:r w:rsidRPr="000B485C">
        <w:rPr>
          <w:szCs w:val="22"/>
        </w:rPr>
        <w:t xml:space="preserve"> $500</w:t>
      </w:r>
      <w:r w:rsidR="00526BC0">
        <w:rPr>
          <w:szCs w:val="22"/>
        </w:rPr>
        <w:t>,</w:t>
      </w:r>
      <w:r w:rsidRPr="000B485C">
        <w:rPr>
          <w:szCs w:val="22"/>
        </w:rPr>
        <w:t xml:space="preserve"> is the amount</w:t>
      </w:r>
      <w:r w:rsidR="0085398F">
        <w:rPr>
          <w:szCs w:val="22"/>
        </w:rPr>
        <w:t xml:space="preserve"> of the distributed gain</w:t>
      </w:r>
      <w:r w:rsidRPr="000B485C">
        <w:rPr>
          <w:szCs w:val="22"/>
        </w:rPr>
        <w:t xml:space="preserve"> that must be included in the designated beneficiary’s income.</w:t>
      </w:r>
      <w:r w:rsidR="00297ACB">
        <w:rPr>
          <w:szCs w:val="22"/>
        </w:rPr>
        <w:t xml:space="preserve"> </w:t>
      </w:r>
      <w:r w:rsidRPr="000B485C">
        <w:rPr>
          <w:szCs w:val="22"/>
        </w:rPr>
        <w:t>In addition to paying income tax on the $500, the designated beneficiary must also pay a penalty tax equal to 10 perce</w:t>
      </w:r>
      <w:r w:rsidR="00526BC0">
        <w:rPr>
          <w:szCs w:val="22"/>
        </w:rPr>
        <w:t>nt of the amount that is includi</w:t>
      </w:r>
      <w:r w:rsidRPr="000B485C">
        <w:rPr>
          <w:szCs w:val="22"/>
        </w:rPr>
        <w:t>ble in income.</w:t>
      </w:r>
      <w:r w:rsidR="00297ACB">
        <w:rPr>
          <w:szCs w:val="22"/>
        </w:rPr>
        <w:t xml:space="preserve"> </w:t>
      </w:r>
      <w:r w:rsidRPr="000B485C">
        <w:rPr>
          <w:szCs w:val="22"/>
        </w:rPr>
        <w:t>The tax penalty would amount to $50.</w:t>
      </w:r>
    </w:p>
    <w:tbl>
      <w:tblPr>
        <w:tblW w:w="0" w:type="auto"/>
        <w:jc w:val="center"/>
        <w:tblLayout w:type="fixed"/>
        <w:tblLook w:val="04A0" w:firstRow="1" w:lastRow="0" w:firstColumn="1" w:lastColumn="0" w:noHBand="0" w:noVBand="1"/>
      </w:tblPr>
      <w:tblGrid>
        <w:gridCol w:w="891"/>
        <w:gridCol w:w="5089"/>
        <w:gridCol w:w="990"/>
        <w:gridCol w:w="360"/>
        <w:gridCol w:w="669"/>
      </w:tblGrid>
      <w:tr w:rsidR="008C0864" w14:paraId="3C9B2094" w14:textId="77777777" w:rsidTr="008C0864">
        <w:trPr>
          <w:trHeight w:val="503"/>
          <w:jc w:val="center"/>
        </w:trPr>
        <w:tc>
          <w:tcPr>
            <w:tcW w:w="891" w:type="dxa"/>
          </w:tcPr>
          <w:p w14:paraId="5DB0D757" w14:textId="77777777" w:rsidR="008C0864" w:rsidRPr="004C3B0D" w:rsidRDefault="008C0864" w:rsidP="008C0864">
            <w:pPr>
              <w:spacing w:before="60" w:after="60"/>
              <w:rPr>
                <w:rFonts w:ascii="Arial" w:hAnsi="Arial" w:cs="Arial"/>
                <w:sz w:val="20"/>
                <w:szCs w:val="20"/>
              </w:rPr>
            </w:pPr>
            <w:r w:rsidRPr="004C3B0D">
              <w:rPr>
                <w:rFonts w:ascii="Arial" w:hAnsi="Arial" w:cs="Arial"/>
                <w:b/>
                <w:sz w:val="20"/>
                <w:szCs w:val="20"/>
              </w:rPr>
              <w:t>Step 1</w:t>
            </w:r>
          </w:p>
        </w:tc>
        <w:tc>
          <w:tcPr>
            <w:tcW w:w="5089" w:type="dxa"/>
          </w:tcPr>
          <w:p w14:paraId="64420D94" w14:textId="77777777" w:rsidR="008C0864" w:rsidRPr="004C3B0D" w:rsidRDefault="008C0864" w:rsidP="008C0864">
            <w:pPr>
              <w:pStyle w:val="wTableNormal"/>
              <w:rPr>
                <w:szCs w:val="22"/>
              </w:rPr>
            </w:pPr>
            <w:r w:rsidRPr="004C3B0D">
              <w:rPr>
                <w:szCs w:val="22"/>
              </w:rPr>
              <w:t>ESA distribution:</w:t>
            </w:r>
          </w:p>
          <w:p w14:paraId="550FD2F6" w14:textId="77777777" w:rsidR="008C0864" w:rsidRPr="004C3B0D" w:rsidRDefault="008C0864" w:rsidP="008C0864">
            <w:pPr>
              <w:pStyle w:val="wTableNormal"/>
              <w:rPr>
                <w:szCs w:val="22"/>
              </w:rPr>
            </w:pPr>
            <w:r w:rsidRPr="004C3B0D">
              <w:rPr>
                <w:szCs w:val="22"/>
              </w:rPr>
              <w:t>Amount contributed to plan:</w:t>
            </w:r>
          </w:p>
          <w:p w14:paraId="5B1D0C4B" w14:textId="77777777" w:rsidR="008C0864" w:rsidRPr="004C3B0D" w:rsidRDefault="008C0864" w:rsidP="008C0864">
            <w:pPr>
              <w:pStyle w:val="wTableNormal"/>
              <w:rPr>
                <w:szCs w:val="22"/>
              </w:rPr>
            </w:pPr>
            <w:r w:rsidRPr="004C3B0D">
              <w:rPr>
                <w:szCs w:val="22"/>
              </w:rPr>
              <w:t>Difference (amount ordinarily subject to tax):</w:t>
            </w:r>
          </w:p>
        </w:tc>
        <w:tc>
          <w:tcPr>
            <w:tcW w:w="2019" w:type="dxa"/>
            <w:gridSpan w:val="3"/>
            <w:vAlign w:val="center"/>
          </w:tcPr>
          <w:p w14:paraId="046D8CCA" w14:textId="77777777" w:rsidR="008C0864" w:rsidRPr="004C3B0D" w:rsidRDefault="008C0864" w:rsidP="008C0864">
            <w:pPr>
              <w:pStyle w:val="wTableNormal"/>
              <w:tabs>
                <w:tab w:val="left" w:pos="594"/>
              </w:tabs>
              <w:ind w:left="-306" w:right="1219"/>
              <w:jc w:val="right"/>
              <w:rPr>
                <w:szCs w:val="22"/>
              </w:rPr>
            </w:pPr>
            <w:r w:rsidRPr="004C3B0D">
              <w:rPr>
                <w:szCs w:val="22"/>
              </w:rPr>
              <w:t>$6,000</w:t>
            </w:r>
          </w:p>
          <w:p w14:paraId="79BED84D" w14:textId="77777777" w:rsidR="008C0864" w:rsidRPr="0022237A" w:rsidRDefault="008C0864" w:rsidP="008C0864">
            <w:pPr>
              <w:pStyle w:val="wTableNormal"/>
              <w:pBdr>
                <w:bottom w:val="single" w:sz="4" w:space="1" w:color="auto"/>
              </w:pBdr>
              <w:tabs>
                <w:tab w:val="left" w:pos="594"/>
              </w:tabs>
              <w:ind w:left="-306" w:right="1219"/>
              <w:jc w:val="right"/>
              <w:rPr>
                <w:szCs w:val="22"/>
              </w:rPr>
            </w:pPr>
            <w:r w:rsidRPr="0022237A">
              <w:rPr>
                <w:szCs w:val="22"/>
              </w:rPr>
              <w:t>– 4,000</w:t>
            </w:r>
          </w:p>
          <w:p w14:paraId="297D07A5" w14:textId="77777777" w:rsidR="008C0864" w:rsidRPr="004C3B0D" w:rsidRDefault="008C0864" w:rsidP="008C0864">
            <w:pPr>
              <w:pStyle w:val="wTableNormal"/>
              <w:tabs>
                <w:tab w:val="left" w:pos="594"/>
              </w:tabs>
              <w:ind w:left="-306" w:right="1219"/>
              <w:jc w:val="right"/>
              <w:rPr>
                <w:szCs w:val="22"/>
              </w:rPr>
            </w:pPr>
            <w:r w:rsidRPr="004C3B0D">
              <w:rPr>
                <w:szCs w:val="22"/>
              </w:rPr>
              <w:t>$2,000</w:t>
            </w:r>
          </w:p>
        </w:tc>
      </w:tr>
      <w:tr w:rsidR="008C0864" w14:paraId="07D58D7D" w14:textId="77777777" w:rsidTr="008C0864">
        <w:trPr>
          <w:trHeight w:val="70"/>
          <w:jc w:val="center"/>
        </w:trPr>
        <w:tc>
          <w:tcPr>
            <w:tcW w:w="891" w:type="dxa"/>
          </w:tcPr>
          <w:p w14:paraId="263DAD3A" w14:textId="77777777" w:rsidR="008C0864" w:rsidRPr="004C3B0D" w:rsidRDefault="008C0864" w:rsidP="008C0864">
            <w:pPr>
              <w:spacing w:before="60" w:after="60"/>
              <w:rPr>
                <w:rFonts w:ascii="Arial" w:hAnsi="Arial" w:cs="Arial"/>
                <w:sz w:val="20"/>
                <w:szCs w:val="20"/>
              </w:rPr>
            </w:pPr>
            <w:r w:rsidRPr="004C3B0D">
              <w:rPr>
                <w:rFonts w:ascii="Arial" w:hAnsi="Arial" w:cs="Arial"/>
                <w:b/>
                <w:sz w:val="20"/>
                <w:szCs w:val="20"/>
              </w:rPr>
              <w:t>Step 2</w:t>
            </w:r>
          </w:p>
        </w:tc>
        <w:tc>
          <w:tcPr>
            <w:tcW w:w="5089" w:type="dxa"/>
          </w:tcPr>
          <w:p w14:paraId="272B4D48" w14:textId="77777777" w:rsidR="008C0864" w:rsidRPr="00D46680" w:rsidRDefault="008C0864" w:rsidP="008C0864">
            <w:pPr>
              <w:pStyle w:val="wTableNormal"/>
              <w:rPr>
                <w:szCs w:val="22"/>
              </w:rPr>
            </w:pPr>
            <w:r w:rsidRPr="00701405">
              <w:t>Ratio of qualified expenses to total distribution:</w:t>
            </w:r>
          </w:p>
        </w:tc>
        <w:tc>
          <w:tcPr>
            <w:tcW w:w="990" w:type="dxa"/>
          </w:tcPr>
          <w:p w14:paraId="43409A5F" w14:textId="77777777" w:rsidR="008C0864" w:rsidRPr="00D46680" w:rsidRDefault="008C0864" w:rsidP="008C0864">
            <w:pPr>
              <w:pStyle w:val="wTableNormal"/>
              <w:ind w:right="144"/>
              <w:jc w:val="center"/>
              <w:rPr>
                <w:szCs w:val="22"/>
              </w:rPr>
            </w:pPr>
            <w:r w:rsidRPr="00046435">
              <w:rPr>
                <w:szCs w:val="22"/>
                <w:u w:val="single"/>
              </w:rPr>
              <w:t>$4,500</w:t>
            </w:r>
            <w:r>
              <w:rPr>
                <w:szCs w:val="22"/>
              </w:rPr>
              <w:br/>
              <w:t>$6,000</w:t>
            </w:r>
          </w:p>
        </w:tc>
        <w:tc>
          <w:tcPr>
            <w:tcW w:w="360" w:type="dxa"/>
            <w:vAlign w:val="center"/>
          </w:tcPr>
          <w:p w14:paraId="206F18D6" w14:textId="77777777" w:rsidR="008C0864" w:rsidRPr="00D46680" w:rsidRDefault="008C0864" w:rsidP="008C0864">
            <w:pPr>
              <w:pStyle w:val="wTableNormal"/>
              <w:ind w:right="144"/>
              <w:jc w:val="center"/>
              <w:rPr>
                <w:szCs w:val="22"/>
              </w:rPr>
            </w:pPr>
            <w:r>
              <w:rPr>
                <w:szCs w:val="22"/>
              </w:rPr>
              <w:t>=</w:t>
            </w:r>
          </w:p>
        </w:tc>
        <w:tc>
          <w:tcPr>
            <w:tcW w:w="669" w:type="dxa"/>
            <w:vAlign w:val="center"/>
          </w:tcPr>
          <w:p w14:paraId="611899EA" w14:textId="77777777" w:rsidR="008C0864" w:rsidRPr="00D46680" w:rsidRDefault="008C0864" w:rsidP="008C0864">
            <w:pPr>
              <w:pStyle w:val="wTableNormal"/>
              <w:ind w:right="144"/>
              <w:jc w:val="center"/>
              <w:rPr>
                <w:szCs w:val="22"/>
              </w:rPr>
            </w:pPr>
            <w:r>
              <w:rPr>
                <w:szCs w:val="22"/>
              </w:rPr>
              <w:t>.75</w:t>
            </w:r>
          </w:p>
        </w:tc>
      </w:tr>
      <w:tr w:rsidR="008C0864" w14:paraId="620B1B03" w14:textId="77777777" w:rsidTr="008C0864">
        <w:trPr>
          <w:trHeight w:val="70"/>
          <w:jc w:val="center"/>
        </w:trPr>
        <w:tc>
          <w:tcPr>
            <w:tcW w:w="891" w:type="dxa"/>
          </w:tcPr>
          <w:p w14:paraId="26A1A1F8" w14:textId="77777777" w:rsidR="008C0864" w:rsidRPr="004C3B0D" w:rsidRDefault="008C0864" w:rsidP="008C0864">
            <w:pPr>
              <w:spacing w:before="60" w:after="60"/>
              <w:rPr>
                <w:rFonts w:ascii="Arial" w:hAnsi="Arial" w:cs="Arial"/>
                <w:sz w:val="20"/>
                <w:szCs w:val="20"/>
              </w:rPr>
            </w:pPr>
            <w:r w:rsidRPr="004C3B0D">
              <w:rPr>
                <w:rFonts w:ascii="Arial" w:hAnsi="Arial" w:cs="Arial"/>
                <w:b/>
                <w:sz w:val="20"/>
                <w:szCs w:val="20"/>
              </w:rPr>
              <w:t>Step 3</w:t>
            </w:r>
          </w:p>
        </w:tc>
        <w:tc>
          <w:tcPr>
            <w:tcW w:w="5089" w:type="dxa"/>
          </w:tcPr>
          <w:p w14:paraId="21CF6B5B" w14:textId="77777777" w:rsidR="008C0864" w:rsidRPr="00D46680" w:rsidRDefault="008C0864" w:rsidP="008C0864">
            <w:pPr>
              <w:pStyle w:val="wTableNormal"/>
              <w:rPr>
                <w:szCs w:val="22"/>
              </w:rPr>
            </w:pPr>
            <w:r w:rsidRPr="00F677FD">
              <w:t xml:space="preserve">Amount of distributed </w:t>
            </w:r>
            <w:r>
              <w:t>gain</w:t>
            </w:r>
            <w:r w:rsidRPr="00F677FD">
              <w:t xml:space="preserve"> received </w:t>
            </w:r>
            <w:r>
              <w:t>tax free</w:t>
            </w:r>
            <w:r w:rsidRPr="00F677FD">
              <w:t xml:space="preserve"> ($2,000 </w:t>
            </w:r>
            <w:r w:rsidRPr="00D46680">
              <w:rPr>
                <w:i/>
              </w:rPr>
              <w:t xml:space="preserve">x </w:t>
            </w:r>
            <w:r w:rsidRPr="00F677FD">
              <w:t>.75):</w:t>
            </w:r>
          </w:p>
        </w:tc>
        <w:tc>
          <w:tcPr>
            <w:tcW w:w="2019" w:type="dxa"/>
            <w:gridSpan w:val="3"/>
          </w:tcPr>
          <w:p w14:paraId="2D5647BE" w14:textId="77777777" w:rsidR="008C0864" w:rsidRPr="00D46680" w:rsidRDefault="008C0864" w:rsidP="008C0864">
            <w:pPr>
              <w:pStyle w:val="wTableNormal"/>
              <w:ind w:right="144"/>
              <w:rPr>
                <w:szCs w:val="22"/>
              </w:rPr>
            </w:pPr>
            <w:r w:rsidRPr="00F677FD">
              <w:t>$1,500</w:t>
            </w:r>
          </w:p>
        </w:tc>
      </w:tr>
      <w:tr w:rsidR="008C0864" w14:paraId="21EBDCD5" w14:textId="77777777" w:rsidTr="008C0864">
        <w:trPr>
          <w:trHeight w:val="70"/>
          <w:jc w:val="center"/>
        </w:trPr>
        <w:tc>
          <w:tcPr>
            <w:tcW w:w="891" w:type="dxa"/>
          </w:tcPr>
          <w:p w14:paraId="5F183DDF" w14:textId="77777777" w:rsidR="008C0864" w:rsidRPr="004C3B0D" w:rsidRDefault="008C0864" w:rsidP="008C0864">
            <w:pPr>
              <w:spacing w:before="60" w:after="60"/>
              <w:rPr>
                <w:rFonts w:ascii="Arial" w:hAnsi="Arial" w:cs="Arial"/>
                <w:sz w:val="20"/>
                <w:szCs w:val="20"/>
              </w:rPr>
            </w:pPr>
            <w:r w:rsidRPr="004C3B0D">
              <w:rPr>
                <w:rFonts w:ascii="Arial" w:hAnsi="Arial" w:cs="Arial"/>
                <w:b/>
                <w:sz w:val="20"/>
                <w:szCs w:val="20"/>
              </w:rPr>
              <w:t>Step 4</w:t>
            </w:r>
          </w:p>
        </w:tc>
        <w:tc>
          <w:tcPr>
            <w:tcW w:w="5089" w:type="dxa"/>
          </w:tcPr>
          <w:p w14:paraId="400A708C" w14:textId="77777777" w:rsidR="008C0864" w:rsidRDefault="008C0864" w:rsidP="008C0864">
            <w:pPr>
              <w:pStyle w:val="wTableNormal"/>
            </w:pPr>
            <w:r w:rsidRPr="00F677FD">
              <w:t xml:space="preserve">Distributed </w:t>
            </w:r>
            <w:r>
              <w:t>gain</w:t>
            </w:r>
            <w:r w:rsidRPr="00F677FD">
              <w:t xml:space="preserve"> subject to tax ($2,000 </w:t>
            </w:r>
            <w:r>
              <w:t>–</w:t>
            </w:r>
            <w:r w:rsidRPr="00F677FD">
              <w:t xml:space="preserve"> $1,500):</w:t>
            </w:r>
          </w:p>
          <w:p w14:paraId="6B8C9136" w14:textId="77777777" w:rsidR="008C0864" w:rsidRPr="00D46680" w:rsidRDefault="008C0864" w:rsidP="008C0864">
            <w:pPr>
              <w:pStyle w:val="wTableNormal"/>
              <w:rPr>
                <w:szCs w:val="22"/>
              </w:rPr>
            </w:pPr>
            <w:r w:rsidRPr="00F677FD">
              <w:t xml:space="preserve">Penalty on distributed </w:t>
            </w:r>
            <w:r>
              <w:t>gain</w:t>
            </w:r>
            <w:r w:rsidRPr="00F677FD">
              <w:t xml:space="preserve"> ($500 </w:t>
            </w:r>
            <w:r w:rsidRPr="00D46680">
              <w:rPr>
                <w:i/>
              </w:rPr>
              <w:t xml:space="preserve">x </w:t>
            </w:r>
            <w:r w:rsidRPr="00F677FD">
              <w:t>.10)</w:t>
            </w:r>
            <w:r>
              <w:t>:</w:t>
            </w:r>
          </w:p>
        </w:tc>
        <w:tc>
          <w:tcPr>
            <w:tcW w:w="2019" w:type="dxa"/>
            <w:gridSpan w:val="3"/>
            <w:vAlign w:val="center"/>
          </w:tcPr>
          <w:p w14:paraId="0AABA31B" w14:textId="77777777" w:rsidR="008C0864" w:rsidRDefault="008C0864" w:rsidP="008C0864">
            <w:pPr>
              <w:pStyle w:val="wTableNormal"/>
              <w:ind w:left="-306" w:right="1219"/>
              <w:jc w:val="right"/>
            </w:pPr>
            <w:r w:rsidRPr="00F677FD">
              <w:t>$500</w:t>
            </w:r>
          </w:p>
          <w:p w14:paraId="759CF83B" w14:textId="77777777" w:rsidR="008C0864" w:rsidRPr="00D46680" w:rsidRDefault="008C0864" w:rsidP="008C0864">
            <w:pPr>
              <w:pStyle w:val="wTableNormal"/>
              <w:ind w:left="-306" w:right="1219"/>
              <w:jc w:val="right"/>
              <w:rPr>
                <w:szCs w:val="22"/>
              </w:rPr>
            </w:pPr>
            <w:r w:rsidRPr="00F677FD">
              <w:t>$50</w:t>
            </w:r>
          </w:p>
        </w:tc>
      </w:tr>
    </w:tbl>
    <w:p w14:paraId="70839258" w14:textId="77777777" w:rsidR="00434CE0" w:rsidRPr="000B485C" w:rsidRDefault="00434CE0" w:rsidP="00825E0B">
      <w:pPr>
        <w:rPr>
          <w:szCs w:val="22"/>
        </w:rPr>
      </w:pPr>
      <w:r w:rsidRPr="000B485C">
        <w:rPr>
          <w:szCs w:val="22"/>
        </w:rPr>
        <w:t xml:space="preserve">Sometimes, a designated beneficiary will choose not to attend school even though an </w:t>
      </w:r>
      <w:r w:rsidR="005C7876">
        <w:rPr>
          <w:szCs w:val="22"/>
        </w:rPr>
        <w:t>ESA</w:t>
      </w:r>
      <w:r w:rsidRPr="000B485C">
        <w:rPr>
          <w:szCs w:val="22"/>
        </w:rPr>
        <w:t xml:space="preserve"> has been established for him or her.</w:t>
      </w:r>
      <w:r w:rsidR="00297ACB">
        <w:rPr>
          <w:szCs w:val="22"/>
        </w:rPr>
        <w:t xml:space="preserve"> </w:t>
      </w:r>
      <w:r w:rsidRPr="000B485C">
        <w:rPr>
          <w:szCs w:val="22"/>
        </w:rPr>
        <w:t xml:space="preserve">As a result, there may be funds in an </w:t>
      </w:r>
      <w:r w:rsidR="005C7876">
        <w:rPr>
          <w:szCs w:val="22"/>
        </w:rPr>
        <w:t>ESA</w:t>
      </w:r>
      <w:r w:rsidRPr="000B485C">
        <w:rPr>
          <w:szCs w:val="22"/>
        </w:rPr>
        <w:t xml:space="preserve"> for the designated beneficiary at the time he or she attains age 30</w:t>
      </w:r>
      <w:r w:rsidR="00526BC0">
        <w:rPr>
          <w:szCs w:val="22"/>
        </w:rPr>
        <w:t>,</w:t>
      </w:r>
      <w:r w:rsidRPr="000B485C">
        <w:rPr>
          <w:szCs w:val="22"/>
        </w:rPr>
        <w:t xml:space="preserve"> the date at which the funds in the </w:t>
      </w:r>
      <w:r w:rsidR="005C7876">
        <w:rPr>
          <w:szCs w:val="22"/>
        </w:rPr>
        <w:t>ESA</w:t>
      </w:r>
      <w:r w:rsidRPr="000B485C">
        <w:rPr>
          <w:szCs w:val="22"/>
        </w:rPr>
        <w:t xml:space="preserve"> must </w:t>
      </w:r>
      <w:r w:rsidR="00314EB8">
        <w:rPr>
          <w:szCs w:val="22"/>
        </w:rPr>
        <w:t xml:space="preserve">generally </w:t>
      </w:r>
      <w:r w:rsidRPr="000B485C">
        <w:rPr>
          <w:szCs w:val="22"/>
        </w:rPr>
        <w:t>be used</w:t>
      </w:r>
      <w:r w:rsidR="00314EB8">
        <w:rPr>
          <w:szCs w:val="22"/>
        </w:rPr>
        <w:t>.</w:t>
      </w:r>
    </w:p>
    <w:p w14:paraId="0292384D" w14:textId="77777777" w:rsidR="00434CE0" w:rsidRDefault="00F704DF" w:rsidP="00825E0B">
      <w:pPr>
        <w:rPr>
          <w:szCs w:val="22"/>
        </w:rPr>
      </w:pPr>
      <w:r>
        <w:rPr>
          <w:szCs w:val="22"/>
        </w:rPr>
        <w:t>Except in the case of a special needs beneficiary</w:t>
      </w:r>
      <w:r w:rsidR="00A95039">
        <w:rPr>
          <w:szCs w:val="22"/>
        </w:rPr>
        <w:fldChar w:fldCharType="begin"/>
      </w:r>
      <w:r w:rsidR="00500F1D">
        <w:instrText xml:space="preserve"> XE "</w:instrText>
      </w:r>
      <w:r w:rsidR="00500F1D" w:rsidRPr="00CD56BD">
        <w:rPr>
          <w:i/>
          <w:szCs w:val="22"/>
        </w:rPr>
        <w:instrText>special needs beneficiary</w:instrText>
      </w:r>
      <w:r w:rsidR="00500F1D">
        <w:instrText xml:space="preserve">" </w:instrText>
      </w:r>
      <w:r w:rsidR="00A95039">
        <w:rPr>
          <w:szCs w:val="22"/>
        </w:rPr>
        <w:fldChar w:fldCharType="end"/>
      </w:r>
      <w:r>
        <w:rPr>
          <w:szCs w:val="22"/>
        </w:rPr>
        <w:t>, t</w:t>
      </w:r>
      <w:r w:rsidR="00434CE0" w:rsidRPr="000B485C">
        <w:rPr>
          <w:szCs w:val="22"/>
        </w:rPr>
        <w:t xml:space="preserve">he funds that remain in an </w:t>
      </w:r>
      <w:r w:rsidR="005C7876">
        <w:rPr>
          <w:szCs w:val="22"/>
        </w:rPr>
        <w:t>ESA</w:t>
      </w:r>
      <w:r w:rsidR="00434CE0" w:rsidRPr="000B485C">
        <w:rPr>
          <w:szCs w:val="22"/>
        </w:rPr>
        <w:t xml:space="preserve"> must be distributed within 30 days of the beneficiary reaching age 30.</w:t>
      </w:r>
      <w:r w:rsidR="00297ACB">
        <w:rPr>
          <w:szCs w:val="22"/>
        </w:rPr>
        <w:t xml:space="preserve"> </w:t>
      </w:r>
      <w:r w:rsidR="00434CE0" w:rsidRPr="000B485C">
        <w:rPr>
          <w:szCs w:val="22"/>
        </w:rPr>
        <w:t>Any amount that remains at the end of that 30-day period will be deemed to be distributed</w:t>
      </w:r>
      <w:r>
        <w:rPr>
          <w:szCs w:val="22"/>
        </w:rPr>
        <w:t xml:space="preserve"> unless it is rolled over</w:t>
      </w:r>
      <w:r w:rsidR="00434CE0" w:rsidRPr="000B485C">
        <w:rPr>
          <w:szCs w:val="22"/>
        </w:rPr>
        <w:t>.</w:t>
      </w:r>
      <w:r w:rsidR="00297ACB">
        <w:rPr>
          <w:szCs w:val="22"/>
        </w:rPr>
        <w:t xml:space="preserve"> </w:t>
      </w:r>
      <w:r>
        <w:rPr>
          <w:szCs w:val="22"/>
        </w:rPr>
        <w:t>Funds in an ESA</w:t>
      </w:r>
      <w:r w:rsidR="00434CE0" w:rsidRPr="000B485C">
        <w:rPr>
          <w:szCs w:val="22"/>
        </w:rPr>
        <w:t xml:space="preserve"> may be rolled over to another </w:t>
      </w:r>
      <w:r w:rsidR="005C7876">
        <w:rPr>
          <w:szCs w:val="22"/>
        </w:rPr>
        <w:t>ESA</w:t>
      </w:r>
      <w:r w:rsidR="00434CE0" w:rsidRPr="000B485C">
        <w:rPr>
          <w:szCs w:val="22"/>
        </w:rPr>
        <w:t xml:space="preserve"> provided the designated beneficiary of the recipient </w:t>
      </w:r>
      <w:r w:rsidR="005C7876">
        <w:rPr>
          <w:szCs w:val="22"/>
        </w:rPr>
        <w:t>ESA</w:t>
      </w:r>
      <w:r w:rsidR="00434CE0" w:rsidRPr="000B485C">
        <w:rPr>
          <w:szCs w:val="22"/>
        </w:rPr>
        <w:t xml:space="preserve"> is a member of the family of the original designated beneficiary and has not yet reached age 30.</w:t>
      </w:r>
      <w:r w:rsidR="00297ACB">
        <w:rPr>
          <w:szCs w:val="22"/>
        </w:rPr>
        <w:t xml:space="preserve"> </w:t>
      </w:r>
      <w:r w:rsidR="00314EB8">
        <w:rPr>
          <w:szCs w:val="22"/>
        </w:rPr>
        <w:t>The age requirement for 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314EB8">
        <w:rPr>
          <w:szCs w:val="22"/>
        </w:rPr>
        <w:t xml:space="preserve"> beneficiary is disregarded in the case of a special needs beneficiary.</w:t>
      </w:r>
      <w:r w:rsidR="00297ACB">
        <w:rPr>
          <w:szCs w:val="22"/>
        </w:rPr>
        <w:t xml:space="preserve"> </w:t>
      </w:r>
      <w:r w:rsidR="00314EB8">
        <w:rPr>
          <w:szCs w:val="22"/>
        </w:rPr>
        <w:t>Not unlike other</w:t>
      </w:r>
      <w:r w:rsidR="00434CE0" w:rsidRPr="000B485C">
        <w:rPr>
          <w:szCs w:val="22"/>
        </w:rPr>
        <w:t xml:space="preserve"> IRA rollovers, the </w:t>
      </w:r>
      <w:r w:rsidR="00314EB8">
        <w:rPr>
          <w:szCs w:val="22"/>
        </w:rPr>
        <w:t>rollover</w:t>
      </w:r>
      <w:r w:rsidR="00434CE0" w:rsidRPr="000B485C">
        <w:rPr>
          <w:szCs w:val="22"/>
        </w:rPr>
        <w:t xml:space="preserve"> to the recipient </w:t>
      </w:r>
      <w:r w:rsidR="005C7876">
        <w:rPr>
          <w:szCs w:val="22"/>
        </w:rPr>
        <w:t>ESA</w:t>
      </w:r>
      <w:r w:rsidR="00434CE0" w:rsidRPr="000B485C">
        <w:rPr>
          <w:szCs w:val="22"/>
        </w:rPr>
        <w:t xml:space="preserve"> must be made no later than 60 days after the date of distribution from the original </w:t>
      </w:r>
      <w:r w:rsidR="005C7876">
        <w:rPr>
          <w:szCs w:val="22"/>
        </w:rPr>
        <w:t>ESA</w:t>
      </w:r>
      <w:r w:rsidR="00434CE0" w:rsidRPr="000B485C">
        <w:rPr>
          <w:szCs w:val="22"/>
        </w:rPr>
        <w:t>.</w:t>
      </w:r>
      <w:r w:rsidR="00297ACB">
        <w:rPr>
          <w:szCs w:val="22"/>
        </w:rPr>
        <w:t xml:space="preserve"> </w:t>
      </w:r>
      <w:r w:rsidR="00434CE0" w:rsidRPr="000B485C">
        <w:rPr>
          <w:szCs w:val="22"/>
        </w:rPr>
        <w:t>And, only one rollover is allowed during any 12-month period.</w:t>
      </w:r>
    </w:p>
    <w:p w14:paraId="3E869F0A" w14:textId="77777777" w:rsidR="00314EB8" w:rsidRPr="00A81EB3" w:rsidRDefault="00314EB8" w:rsidP="00891F6C">
      <w:pPr>
        <w:pStyle w:val="Heading2"/>
        <w:rPr>
          <w:sz w:val="22"/>
          <w:szCs w:val="22"/>
        </w:rPr>
      </w:pPr>
      <w:bookmarkStart w:id="140" w:name="_Toc48025273"/>
      <w:bookmarkStart w:id="141" w:name="_Toc404357215"/>
      <w:r w:rsidRPr="00A81EB3">
        <w:t>Summary</w:t>
      </w:r>
      <w:bookmarkEnd w:id="140"/>
      <w:bookmarkEnd w:id="141"/>
    </w:p>
    <w:p w14:paraId="4D901DE6" w14:textId="77777777" w:rsidR="00DA755F" w:rsidRDefault="00DA755F" w:rsidP="00825E0B">
      <w:pPr>
        <w:rPr>
          <w:szCs w:val="22"/>
        </w:rPr>
      </w:pPr>
      <w:r>
        <w:rPr>
          <w:szCs w:val="22"/>
        </w:rPr>
        <w:t>Education IRAs, now called Coverdell Education Savings Accounts</w:t>
      </w:r>
      <w:r w:rsidR="00A95039">
        <w:rPr>
          <w:szCs w:val="22"/>
        </w:rPr>
        <w:fldChar w:fldCharType="begin"/>
      </w:r>
      <w:r w:rsidR="00293611">
        <w:instrText xml:space="preserve"> XE "</w:instrText>
      </w:r>
      <w:r w:rsidR="00293611" w:rsidRPr="00CD56BD">
        <w:instrText>Coverdell Education Savings Accounts</w:instrText>
      </w:r>
      <w:r w:rsidR="00293611">
        <w:instrText xml:space="preserve">" </w:instrText>
      </w:r>
      <w:r w:rsidR="00A95039">
        <w:rPr>
          <w:szCs w:val="22"/>
        </w:rPr>
        <w:fldChar w:fldCharType="end"/>
      </w:r>
      <w:r>
        <w:rPr>
          <w:szCs w:val="22"/>
        </w:rPr>
        <w:t>, are trust or custodial accounts created exclusively for the purpose of paying the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Pr>
          <w:szCs w:val="22"/>
        </w:rPr>
        <w:t xml:space="preserve"> of the trust beneficiary.</w:t>
      </w:r>
      <w:r w:rsidR="00297ACB">
        <w:rPr>
          <w:szCs w:val="22"/>
        </w:rPr>
        <w:t xml:space="preserve"> </w:t>
      </w:r>
      <w:r w:rsidR="00A72E36">
        <w:rPr>
          <w:szCs w:val="22"/>
        </w:rPr>
        <w:lastRenderedPageBreak/>
        <w:t>In order to encourage savings for education, these ESAs offer tax deferral of fund growth and possible tax-free distribution when used to pay qualified education expenses.</w:t>
      </w:r>
      <w:r w:rsidR="00297ACB">
        <w:rPr>
          <w:szCs w:val="22"/>
        </w:rPr>
        <w:t xml:space="preserve"> </w:t>
      </w:r>
      <w:r w:rsidR="00A72E36">
        <w:rPr>
          <w:szCs w:val="22"/>
        </w:rPr>
        <w:t>ESA contributions, however, are not tax-deductible.</w:t>
      </w:r>
    </w:p>
    <w:p w14:paraId="2CD7D42D" w14:textId="77777777" w:rsidR="00CF48D6" w:rsidRDefault="00A72E36" w:rsidP="00825E0B">
      <w:pPr>
        <w:rPr>
          <w:szCs w:val="22"/>
        </w:rPr>
      </w:pPr>
      <w:r>
        <w:rPr>
          <w:szCs w:val="22"/>
        </w:rPr>
        <w:t>ESA contributions may be made for a designated beneficiary age 18 or younger or for a special needs beneficiary</w:t>
      </w:r>
      <w:r w:rsidR="00A95039">
        <w:rPr>
          <w:szCs w:val="22"/>
        </w:rPr>
        <w:fldChar w:fldCharType="begin"/>
      </w:r>
      <w:r w:rsidR="00500F1D">
        <w:instrText xml:space="preserve"> XE "</w:instrText>
      </w:r>
      <w:r w:rsidR="00500F1D" w:rsidRPr="00CD56BD">
        <w:rPr>
          <w:i/>
          <w:szCs w:val="22"/>
        </w:rPr>
        <w:instrText>special needs beneficiary</w:instrText>
      </w:r>
      <w:r w:rsidR="00500F1D">
        <w:instrText xml:space="preserve">" </w:instrText>
      </w:r>
      <w:r w:rsidR="00A95039">
        <w:rPr>
          <w:szCs w:val="22"/>
        </w:rPr>
        <w:fldChar w:fldCharType="end"/>
      </w:r>
      <w:r>
        <w:rPr>
          <w:szCs w:val="22"/>
        </w:rPr>
        <w:t xml:space="preserve"> at any age.</w:t>
      </w:r>
      <w:r w:rsidR="00297ACB">
        <w:rPr>
          <w:szCs w:val="22"/>
        </w:rPr>
        <w:t xml:space="preserve"> </w:t>
      </w:r>
      <w:r>
        <w:rPr>
          <w:szCs w:val="22"/>
        </w:rPr>
        <w:t>Although the maximum annual contribution is $2,000, eligibility to make contributions is phased out at higher contributor income levels.</w:t>
      </w:r>
      <w:r w:rsidR="00297ACB">
        <w:rPr>
          <w:szCs w:val="22"/>
        </w:rPr>
        <w:t xml:space="preserve"> </w:t>
      </w:r>
      <w:r>
        <w:rPr>
          <w:szCs w:val="22"/>
        </w:rPr>
        <w:t>ESA funds must generally be used for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Pr>
          <w:szCs w:val="22"/>
        </w:rPr>
        <w:t xml:space="preserve"> by the time the designated beneficiary attains age 30.</w:t>
      </w:r>
      <w:r w:rsidR="00297ACB">
        <w:rPr>
          <w:szCs w:val="22"/>
        </w:rPr>
        <w:t xml:space="preserve"> </w:t>
      </w:r>
      <w:r>
        <w:rPr>
          <w:szCs w:val="22"/>
        </w:rPr>
        <w:t>Except in those cases in which the designated beneficiary is a special needs beneficiary, any ESA funds not used by age 30 must be distributed within 30 days of the designated beneficiary’s reaching age 30.</w:t>
      </w:r>
      <w:r w:rsidR="00297ACB">
        <w:rPr>
          <w:szCs w:val="22"/>
        </w:rPr>
        <w:t xml:space="preserve"> </w:t>
      </w:r>
      <w:r>
        <w:rPr>
          <w:szCs w:val="22"/>
        </w:rPr>
        <w:t>ESA funds may be rolled over</w:t>
      </w:r>
      <w:r w:rsidR="00582F75">
        <w:rPr>
          <w:szCs w:val="22"/>
        </w:rPr>
        <w:t xml:space="preserve"> to another ESA for the same beneficiary or for another beneficiary who is a member of the former beneficiary’s family</w:t>
      </w:r>
      <w:r w:rsidR="00CF48D6">
        <w:rPr>
          <w:szCs w:val="22"/>
        </w:rPr>
        <w:t>.</w:t>
      </w:r>
    </w:p>
    <w:p w14:paraId="6EF39118" w14:textId="77777777" w:rsidR="00891F6C" w:rsidRDefault="00CF48D6" w:rsidP="00CF48D6">
      <w:pPr>
        <w:pStyle w:val="Heading2"/>
      </w:pPr>
      <w:bookmarkStart w:id="142" w:name="_Toc404357216"/>
      <w:r>
        <w:t>Review Quiz #6</w:t>
      </w:r>
      <w:bookmarkEnd w:id="142"/>
    </w:p>
    <w:p w14:paraId="11124241" w14:textId="77777777" w:rsidR="000E36E1" w:rsidRDefault="000E36E1" w:rsidP="000E36E1">
      <w:pPr>
        <w:ind w:left="360" w:hanging="360"/>
      </w:pPr>
      <w:r>
        <w:t>1.   Helen is a joint income tax filer who wants to make contributions to a Coverdell Education Savings Account</w:t>
      </w:r>
      <w:r w:rsidR="00A95039">
        <w:fldChar w:fldCharType="begin"/>
      </w:r>
      <w:r w:rsidR="00293611">
        <w:instrText xml:space="preserve"> XE "</w:instrText>
      </w:r>
      <w:r w:rsidR="00293611" w:rsidRPr="00CD56BD">
        <w:instrText>Coverdell Education Savings Account</w:instrText>
      </w:r>
      <w:r w:rsidR="00293611">
        <w:instrText xml:space="preserve">" </w:instrText>
      </w:r>
      <w:r w:rsidR="00A95039">
        <w:fldChar w:fldCharType="end"/>
      </w:r>
      <w:r>
        <w:t xml:space="preserve"> (ESA) for her newborn granddaughter. What is the maximum contribution she can make to an ESA for her granddaughter in </w:t>
      </w:r>
      <w:r w:rsidR="00E84C06">
        <w:t>201</w:t>
      </w:r>
      <w:r w:rsidR="00D901BD">
        <w:t>5</w:t>
      </w:r>
      <w:r>
        <w:t xml:space="preserve"> if her </w:t>
      </w:r>
      <w:r w:rsidR="00E84C06">
        <w:t>201</w:t>
      </w:r>
      <w:r w:rsidR="00D901BD">
        <w:t>5</w:t>
      </w:r>
      <w:r>
        <w:t xml:space="preserve"> modified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is $205,000?  </w:t>
      </w:r>
    </w:p>
    <w:p w14:paraId="048466E6" w14:textId="77777777" w:rsidR="000E36E1" w:rsidRDefault="000E36E1" w:rsidP="007A5E54">
      <w:pPr>
        <w:numPr>
          <w:ilvl w:val="0"/>
          <w:numId w:val="85"/>
        </w:numPr>
        <w:spacing w:before="120"/>
      </w:pPr>
      <w:r>
        <w:t>$0</w:t>
      </w:r>
    </w:p>
    <w:p w14:paraId="666C2A44" w14:textId="77777777" w:rsidR="000E36E1" w:rsidRDefault="000E36E1" w:rsidP="007A5E54">
      <w:pPr>
        <w:numPr>
          <w:ilvl w:val="0"/>
          <w:numId w:val="85"/>
        </w:numPr>
        <w:spacing w:before="120"/>
      </w:pPr>
      <w:r>
        <w:t>$1,000</w:t>
      </w:r>
    </w:p>
    <w:p w14:paraId="5E9E730E" w14:textId="77777777" w:rsidR="000E36E1" w:rsidRDefault="000E36E1" w:rsidP="007A5E54">
      <w:pPr>
        <w:numPr>
          <w:ilvl w:val="0"/>
          <w:numId w:val="85"/>
        </w:numPr>
        <w:spacing w:before="120"/>
      </w:pPr>
      <w:r>
        <w:t>$2,000</w:t>
      </w:r>
    </w:p>
    <w:p w14:paraId="7FB0BFB1" w14:textId="77777777" w:rsidR="000E36E1" w:rsidRDefault="000E36E1" w:rsidP="007A5E54">
      <w:pPr>
        <w:numPr>
          <w:ilvl w:val="0"/>
          <w:numId w:val="85"/>
        </w:numPr>
        <w:spacing w:before="120"/>
      </w:pPr>
      <w:r>
        <w:t>$5,</w:t>
      </w:r>
      <w:r w:rsidR="00D901BD">
        <w:t>5</w:t>
      </w:r>
      <w:r>
        <w:t>00</w:t>
      </w:r>
    </w:p>
    <w:p w14:paraId="3AB6E0D0" w14:textId="77777777" w:rsidR="000E36E1" w:rsidRDefault="000E36E1" w:rsidP="000E36E1">
      <w:pPr>
        <w:ind w:left="360" w:hanging="360"/>
      </w:pPr>
      <w:r>
        <w:t>2.    Barbara’s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at the university she plans to attend total $25,000. If she receives a</w:t>
      </w:r>
      <w:r w:rsidR="00357267">
        <w:t>n</w:t>
      </w:r>
      <w:r>
        <w:t xml:space="preserve"> </w:t>
      </w:r>
      <w:r w:rsidR="00AE10A9">
        <w:t>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of $2,500, </w:t>
      </w:r>
      <w:r w:rsidR="008B1216">
        <w:t xml:space="preserve">for which $4,000 of qualified education expenses were taken into account, </w:t>
      </w:r>
      <w:r>
        <w:t>what is the maximum tax-free distribution she may receive from her Coverdell Education Savings Account</w:t>
      </w:r>
      <w:r w:rsidR="00A95039">
        <w:fldChar w:fldCharType="begin"/>
      </w:r>
      <w:r w:rsidR="00293611">
        <w:instrText xml:space="preserve"> XE "</w:instrText>
      </w:r>
      <w:r w:rsidR="00293611" w:rsidRPr="00CD56BD">
        <w:instrText>Coverdell Education Savings Account</w:instrText>
      </w:r>
      <w:r w:rsidR="00293611">
        <w:instrText xml:space="preserve">" </w:instrText>
      </w:r>
      <w:r w:rsidR="00A95039">
        <w:fldChar w:fldCharType="end"/>
      </w:r>
      <w:r>
        <w:t>?</w:t>
      </w:r>
    </w:p>
    <w:p w14:paraId="14DB5A9D" w14:textId="77777777" w:rsidR="000E36E1" w:rsidRDefault="000E36E1" w:rsidP="007A5E54">
      <w:pPr>
        <w:numPr>
          <w:ilvl w:val="0"/>
          <w:numId w:val="87"/>
        </w:numPr>
        <w:spacing w:before="120"/>
      </w:pPr>
      <w:r>
        <w:t>$25,000</w:t>
      </w:r>
    </w:p>
    <w:p w14:paraId="3E3004B7" w14:textId="77777777" w:rsidR="000E36E1" w:rsidRDefault="000E36E1" w:rsidP="007A5E54">
      <w:pPr>
        <w:numPr>
          <w:ilvl w:val="0"/>
          <w:numId w:val="87"/>
        </w:numPr>
        <w:spacing w:before="120"/>
      </w:pPr>
      <w:r>
        <w:t>$0</w:t>
      </w:r>
    </w:p>
    <w:p w14:paraId="5331A57D" w14:textId="77777777" w:rsidR="000E36E1" w:rsidRDefault="000E36E1" w:rsidP="007A5E54">
      <w:pPr>
        <w:numPr>
          <w:ilvl w:val="0"/>
          <w:numId w:val="87"/>
        </w:numPr>
        <w:spacing w:before="120"/>
      </w:pPr>
      <w:r>
        <w:t>$2</w:t>
      </w:r>
      <w:r w:rsidR="008B1216">
        <w:t>1,000</w:t>
      </w:r>
    </w:p>
    <w:p w14:paraId="32A6916A" w14:textId="77777777" w:rsidR="000E36E1" w:rsidRDefault="000E36E1" w:rsidP="007A5E54">
      <w:pPr>
        <w:numPr>
          <w:ilvl w:val="0"/>
          <w:numId w:val="87"/>
        </w:numPr>
        <w:spacing w:before="120"/>
      </w:pPr>
      <w:r>
        <w:t xml:space="preserve">$27,500 </w:t>
      </w:r>
    </w:p>
    <w:p w14:paraId="3B2563A7" w14:textId="77777777" w:rsidR="000E36E1" w:rsidRDefault="000E36E1" w:rsidP="000E36E1">
      <w:pPr>
        <w:ind w:left="330" w:hanging="330"/>
      </w:pPr>
      <w:r>
        <w:t>3.   Arthur’s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amount to $30,</w:t>
      </w:r>
      <w:r w:rsidR="00CD6AF5">
        <w:t>0</w:t>
      </w:r>
      <w:r>
        <w:t>00, and he has been granted a</w:t>
      </w:r>
      <w:r w:rsidR="00357267">
        <w:t>n</w:t>
      </w:r>
      <w:r>
        <w:t xml:space="preserve"> </w:t>
      </w:r>
      <w:r w:rsidR="00AE10A9">
        <w:t xml:space="preserve">American Opportunity </w:t>
      </w:r>
      <w:r>
        <w:t>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of $2,500</w:t>
      </w:r>
      <w:r w:rsidR="00C82EA8">
        <w:t xml:space="preserve"> (for which $4,000 of qualified education expenses are taken into account)</w:t>
      </w:r>
      <w:r>
        <w:t>. If the total contributions made to his Coverdell Education Savings Account</w:t>
      </w:r>
      <w:r w:rsidR="00A95039">
        <w:fldChar w:fldCharType="begin"/>
      </w:r>
      <w:r w:rsidR="00293611">
        <w:instrText xml:space="preserve"> XE "</w:instrText>
      </w:r>
      <w:r w:rsidR="00293611" w:rsidRPr="00CD56BD">
        <w:instrText>Coverdell Education Savings Account</w:instrText>
      </w:r>
      <w:r w:rsidR="00293611">
        <w:instrText xml:space="preserve">" </w:instrText>
      </w:r>
      <w:r w:rsidR="00A95039">
        <w:fldChar w:fldCharType="end"/>
      </w:r>
      <w:r>
        <w:t xml:space="preserve"> over the years amounted to $36,000 and he took a $40,000 distribution, how much of the distribution is taxable income to him?</w:t>
      </w:r>
    </w:p>
    <w:p w14:paraId="246CD6D6" w14:textId="77777777" w:rsidR="000E36E1" w:rsidRDefault="000E36E1" w:rsidP="007A5E54">
      <w:pPr>
        <w:numPr>
          <w:ilvl w:val="0"/>
          <w:numId w:val="89"/>
        </w:numPr>
        <w:spacing w:before="120"/>
      </w:pPr>
      <w:r>
        <w:t>$1,</w:t>
      </w:r>
      <w:r w:rsidR="00CD6AF5">
        <w:t>4</w:t>
      </w:r>
      <w:r>
        <w:t>00</w:t>
      </w:r>
    </w:p>
    <w:p w14:paraId="7E7A890F" w14:textId="77777777" w:rsidR="000E36E1" w:rsidRDefault="000E36E1" w:rsidP="007A5E54">
      <w:pPr>
        <w:numPr>
          <w:ilvl w:val="0"/>
          <w:numId w:val="89"/>
        </w:numPr>
        <w:spacing w:before="120"/>
      </w:pPr>
      <w:r>
        <w:t>$0</w:t>
      </w:r>
    </w:p>
    <w:p w14:paraId="3DE902EE" w14:textId="77777777" w:rsidR="000E36E1" w:rsidRDefault="000E36E1" w:rsidP="007A5E54">
      <w:pPr>
        <w:numPr>
          <w:ilvl w:val="0"/>
          <w:numId w:val="89"/>
        </w:numPr>
        <w:spacing w:before="120"/>
      </w:pPr>
      <w:r>
        <w:t>$1</w:t>
      </w:r>
      <w:r w:rsidR="00F224CE">
        <w:t>4</w:t>
      </w:r>
      <w:r>
        <w:t>,000</w:t>
      </w:r>
    </w:p>
    <w:p w14:paraId="2F222F51" w14:textId="77777777" w:rsidR="000E36E1" w:rsidRDefault="000E36E1" w:rsidP="007A5E54">
      <w:pPr>
        <w:numPr>
          <w:ilvl w:val="0"/>
          <w:numId w:val="89"/>
        </w:numPr>
        <w:spacing w:before="120"/>
      </w:pPr>
      <w:r>
        <w:t>$4,000</w:t>
      </w:r>
    </w:p>
    <w:p w14:paraId="4D7DFB82" w14:textId="77777777" w:rsidR="00CF48D6" w:rsidRDefault="00CF48D6" w:rsidP="00825E0B">
      <w:pPr>
        <w:rPr>
          <w:b/>
          <w:szCs w:val="26"/>
        </w:rPr>
        <w:sectPr w:rsidR="00CF48D6" w:rsidSect="00297ACB">
          <w:headerReference w:type="default" r:id="rId17"/>
          <w:footerReference w:type="first" r:id="rId18"/>
          <w:pgSz w:w="12240" w:h="15840"/>
          <w:pgMar w:top="2160" w:right="1440" w:bottom="1440" w:left="1800" w:header="720" w:footer="720" w:gutter="0"/>
          <w:cols w:space="720"/>
          <w:titlePg/>
          <w:docGrid w:linePitch="299"/>
        </w:sectPr>
      </w:pPr>
    </w:p>
    <w:p w14:paraId="75269632" w14:textId="77777777" w:rsidR="00A81EB3" w:rsidRPr="000B485C" w:rsidRDefault="005A4CD2" w:rsidP="00891F6C">
      <w:pPr>
        <w:pStyle w:val="Heading1"/>
      </w:pPr>
      <w:bookmarkStart w:id="143" w:name="_Toc48025274"/>
      <w:bookmarkStart w:id="144" w:name="_Toc404357217"/>
      <w:r>
        <w:lastRenderedPageBreak/>
        <w:t>Chapter</w:t>
      </w:r>
      <w:r w:rsidR="00A81EB3">
        <w:t xml:space="preserve"> </w:t>
      </w:r>
      <w:r w:rsidR="005B6340">
        <w:t>5</w:t>
      </w:r>
      <w:r w:rsidR="00891F6C">
        <w:br/>
      </w:r>
      <w:r w:rsidR="00A81EB3">
        <w:t>Simplified Employee Pension IRAs</w:t>
      </w:r>
      <w:bookmarkEnd w:id="143"/>
      <w:bookmarkEnd w:id="144"/>
    </w:p>
    <w:p w14:paraId="645CF28D" w14:textId="77777777" w:rsidR="00A81EB3" w:rsidRPr="00352D2D" w:rsidRDefault="00A81EB3" w:rsidP="00891F6C">
      <w:pPr>
        <w:pStyle w:val="Heading2"/>
      </w:pPr>
      <w:bookmarkStart w:id="145" w:name="_Toc48025275"/>
      <w:bookmarkStart w:id="146" w:name="_Toc404357218"/>
      <w:r w:rsidRPr="00352D2D">
        <w:t>Important Lesson Points</w:t>
      </w:r>
      <w:bookmarkEnd w:id="145"/>
      <w:bookmarkEnd w:id="146"/>
    </w:p>
    <w:p w14:paraId="5CD1E4C3" w14:textId="77777777" w:rsidR="00A81EB3" w:rsidRPr="00891F6C" w:rsidRDefault="00A81EB3" w:rsidP="00891F6C">
      <w:pPr>
        <w:rPr>
          <w:szCs w:val="22"/>
        </w:rPr>
      </w:pPr>
      <w:r w:rsidRPr="00891F6C">
        <w:rPr>
          <w:szCs w:val="22"/>
        </w:rPr>
        <w:t>The important points addressed in this lesson are:</w:t>
      </w:r>
    </w:p>
    <w:p w14:paraId="7B41E900" w14:textId="77777777" w:rsidR="005A4B1F" w:rsidRPr="004B5CC6" w:rsidRDefault="005A4B1F" w:rsidP="007A5E54">
      <w:pPr>
        <w:numPr>
          <w:ilvl w:val="0"/>
          <w:numId w:val="22"/>
        </w:numPr>
        <w:contextualSpacing/>
      </w:pPr>
      <w:r w:rsidRPr="004B5CC6">
        <w:t>Simplified employee pensions, better known as SEPs, are traditional IRAs into which employers may make deposits at levels far in excess of traditional or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p>
    <w:p w14:paraId="2A948EE0" w14:textId="77777777" w:rsidR="005A4B1F" w:rsidRPr="004B5CC6" w:rsidRDefault="005A4B1F" w:rsidP="007A5E54">
      <w:pPr>
        <w:numPr>
          <w:ilvl w:val="0"/>
          <w:numId w:val="22"/>
        </w:numPr>
        <w:contextualSpacing/>
      </w:pPr>
      <w:r w:rsidRPr="004B5CC6">
        <w:t>SEPs provide a much simpler alternative to qualified retirement plans and are generally far less costly to install</w:t>
      </w:r>
    </w:p>
    <w:p w14:paraId="2039F42E" w14:textId="77777777" w:rsidR="005A4B1F" w:rsidRPr="004B5CC6" w:rsidRDefault="005A4B1F" w:rsidP="007A5E54">
      <w:pPr>
        <w:numPr>
          <w:ilvl w:val="0"/>
          <w:numId w:val="22"/>
        </w:numPr>
        <w:contextualSpacing/>
      </w:pPr>
      <w:r w:rsidRPr="004B5CC6">
        <w:t>Employer contributions, which are discretionary, are tax-deductible to the employer and not included in the employees’ income</w:t>
      </w:r>
    </w:p>
    <w:p w14:paraId="6A594327" w14:textId="77777777" w:rsidR="00503A46" w:rsidRPr="004B5CC6" w:rsidRDefault="005A4B1F" w:rsidP="007A5E54">
      <w:pPr>
        <w:numPr>
          <w:ilvl w:val="0"/>
          <w:numId w:val="22"/>
        </w:numPr>
        <w:contextualSpacing/>
      </w:pPr>
      <w:r w:rsidRPr="004B5CC6">
        <w:t>In any year in which an employer makes a SEP contribution, an allocation must be made for any employee who is at least age 21, performed services for the employer in the year for which contributions are being made and earned at least $</w:t>
      </w:r>
      <w:r w:rsidR="00676D83">
        <w:t>600</w:t>
      </w:r>
      <w:r w:rsidRPr="004B5CC6">
        <w:t xml:space="preserve"> in </w:t>
      </w:r>
      <w:r w:rsidR="00503A46" w:rsidRPr="004B5CC6">
        <w:t>3 of the immediately preceding 5 years</w:t>
      </w:r>
    </w:p>
    <w:p w14:paraId="7D722314" w14:textId="77777777" w:rsidR="00503A46" w:rsidRPr="004B5CC6" w:rsidRDefault="00503A46" w:rsidP="007A5E54">
      <w:pPr>
        <w:numPr>
          <w:ilvl w:val="0"/>
          <w:numId w:val="22"/>
        </w:numPr>
        <w:contextualSpacing/>
      </w:pPr>
      <w:r w:rsidRPr="004B5CC6">
        <w:t>Employer contributions may not exceed 25 p</w:t>
      </w:r>
      <w:r w:rsidR="003911A9">
        <w:t>ercent of compensation up to $</w:t>
      </w:r>
      <w:r w:rsidR="0053362F">
        <w:t>5</w:t>
      </w:r>
      <w:r w:rsidR="00676D83">
        <w:t>3</w:t>
      </w:r>
      <w:r w:rsidRPr="004B5CC6">
        <w:t>,000</w:t>
      </w:r>
    </w:p>
    <w:p w14:paraId="1EB8B665" w14:textId="77777777" w:rsidR="00503A46" w:rsidRPr="004B5CC6" w:rsidRDefault="00503A46" w:rsidP="007A5E54">
      <w:pPr>
        <w:numPr>
          <w:ilvl w:val="0"/>
          <w:numId w:val="22"/>
        </w:numPr>
        <w:contextualSpacing/>
      </w:pPr>
      <w:r w:rsidRPr="004B5CC6">
        <w:t>A SEP may not discriminate in favor of highly compensated employees, but the plan may be integrated with Social Security</w:t>
      </w:r>
    </w:p>
    <w:p w14:paraId="2F3A0B8C" w14:textId="77777777" w:rsidR="00503A46" w:rsidRPr="004B5CC6" w:rsidRDefault="00503A46" w:rsidP="007A5E54">
      <w:pPr>
        <w:numPr>
          <w:ilvl w:val="0"/>
          <w:numId w:val="22"/>
        </w:numPr>
        <w:contextualSpacing/>
      </w:pPr>
      <w:r w:rsidRPr="004B5CC6">
        <w:t>SEP contributions may be placed in a wide range of investments, but the plan may not invest in life insurance or certain collectibles</w:t>
      </w:r>
    </w:p>
    <w:p w14:paraId="60D9BEF1" w14:textId="77777777" w:rsidR="005A4B1F" w:rsidRPr="004B5CC6" w:rsidRDefault="00503A46" w:rsidP="007A5E54">
      <w:pPr>
        <w:numPr>
          <w:ilvl w:val="0"/>
          <w:numId w:val="22"/>
        </w:numPr>
        <w:contextualSpacing/>
      </w:pPr>
      <w:r w:rsidRPr="004B5CC6">
        <w:t>Distributions of pre-tax contributions and earnings are taxable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Pr="004B5CC6">
        <w:t xml:space="preserve"> when received and subject to a 10 percent tax penalty</w:t>
      </w:r>
      <w:r w:rsidR="005A4B1F" w:rsidRPr="004B5CC6">
        <w:t xml:space="preserve"> </w:t>
      </w:r>
      <w:r w:rsidRPr="004B5CC6">
        <w:t>if received prior to 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rsidRPr="004B5CC6">
        <w:t xml:space="preserve"> unless the distribution is made pursuant to a specified exception</w:t>
      </w:r>
    </w:p>
    <w:p w14:paraId="1C7F0F86" w14:textId="77777777" w:rsidR="00503A46" w:rsidRPr="004B5CC6" w:rsidRDefault="00503A46" w:rsidP="007A5E54">
      <w:pPr>
        <w:numPr>
          <w:ilvl w:val="0"/>
          <w:numId w:val="22"/>
        </w:numPr>
        <w:contextualSpacing/>
      </w:pPr>
      <w:r w:rsidRPr="004B5CC6">
        <w:t>After-tax contributions are received tax free upon distribution</w:t>
      </w:r>
    </w:p>
    <w:p w14:paraId="518357B4" w14:textId="77777777" w:rsidR="00503A46" w:rsidRPr="004B5CC6" w:rsidRDefault="00503A46" w:rsidP="007A5E54">
      <w:pPr>
        <w:numPr>
          <w:ilvl w:val="0"/>
          <w:numId w:val="22"/>
        </w:numPr>
        <w:contextualSpacing/>
      </w:pPr>
      <w:r w:rsidRPr="004B5CC6">
        <w:t>Required minimum distributions of SEP account balances must begin by age 70½</w:t>
      </w:r>
      <w:r w:rsidR="00A95039">
        <w:fldChar w:fldCharType="begin"/>
      </w:r>
      <w:r w:rsidR="00293611">
        <w:instrText xml:space="preserve"> XE "</w:instrText>
      </w:r>
      <w:r w:rsidR="00293611" w:rsidRPr="00CD56BD">
        <w:rPr>
          <w:szCs w:val="22"/>
        </w:rPr>
        <w:instrText>age 70½</w:instrText>
      </w:r>
      <w:r w:rsidR="00293611">
        <w:instrText xml:space="preserve">" </w:instrText>
      </w:r>
      <w:r w:rsidR="00A95039">
        <w:fldChar w:fldCharType="end"/>
      </w:r>
    </w:p>
    <w:p w14:paraId="36C86DEE" w14:textId="77777777" w:rsidR="00503A46" w:rsidRDefault="00503A46" w:rsidP="007A5E54">
      <w:pPr>
        <w:numPr>
          <w:ilvl w:val="0"/>
          <w:numId w:val="22"/>
        </w:numPr>
        <w:contextualSpacing/>
      </w:pPr>
      <w:r w:rsidRPr="004B5CC6">
        <w:t>Funds in a SEP may be rolled over according to the rules governing rollovers of traditional IRAs</w:t>
      </w:r>
    </w:p>
    <w:p w14:paraId="422E1F9F" w14:textId="77777777" w:rsidR="000E36E1" w:rsidRDefault="000E36E1" w:rsidP="000E36E1">
      <w:pPr>
        <w:pStyle w:val="Heading2"/>
        <w:keepLines w:val="0"/>
      </w:pPr>
      <w:bookmarkStart w:id="147" w:name="_Toc404357219"/>
      <w:r>
        <w:t>Chapter Learning Objectives</w:t>
      </w:r>
      <w:bookmarkEnd w:id="147"/>
    </w:p>
    <w:p w14:paraId="7E8000A2" w14:textId="77777777" w:rsidR="000E36E1" w:rsidRDefault="000E36E1" w:rsidP="000E36E1">
      <w:r>
        <w:t xml:space="preserve">In this chapter we will look at the rules governing Simplified Employee Pension IRAs. </w:t>
      </w:r>
      <w:r w:rsidRPr="00702457">
        <w:t xml:space="preserve">When you have completed this </w:t>
      </w:r>
      <w:r>
        <w:t>chapter</w:t>
      </w:r>
      <w:r w:rsidRPr="00702457">
        <w:t xml:space="preserve"> you should be able to</w:t>
      </w:r>
      <w:r>
        <w:t>:</w:t>
      </w:r>
    </w:p>
    <w:p w14:paraId="0FA539F2" w14:textId="77777777" w:rsidR="000E36E1" w:rsidRDefault="00FB7FC2" w:rsidP="007A5E54">
      <w:pPr>
        <w:numPr>
          <w:ilvl w:val="0"/>
          <w:numId w:val="91"/>
        </w:numPr>
        <w:contextualSpacing/>
      </w:pPr>
      <w:r>
        <w:t>Identify the additional employer benefits associated with establishing a Simplified Employee Pension IRA compared to establishing a qualified plan;</w:t>
      </w:r>
    </w:p>
    <w:p w14:paraId="50ACAC64" w14:textId="77777777" w:rsidR="00FB7FC2" w:rsidRDefault="00FB7FC2" w:rsidP="007A5E54">
      <w:pPr>
        <w:numPr>
          <w:ilvl w:val="0"/>
          <w:numId w:val="91"/>
        </w:numPr>
        <w:contextualSpacing/>
      </w:pPr>
      <w:r>
        <w:t>Explain the rules governing the employees that must be included in, and the employees that may be excluded from, a Simplified Employee Pension IRA;</w:t>
      </w:r>
    </w:p>
    <w:p w14:paraId="0B5E4A01" w14:textId="77777777" w:rsidR="00FB7FC2" w:rsidRDefault="00FB7FC2" w:rsidP="007A5E54">
      <w:pPr>
        <w:numPr>
          <w:ilvl w:val="0"/>
          <w:numId w:val="91"/>
        </w:numPr>
        <w:contextualSpacing/>
      </w:pPr>
      <w:r>
        <w:t>Discuss the rules applicable to employer and employee contributions to a Simplified Employee Pension IRA;</w:t>
      </w:r>
    </w:p>
    <w:p w14:paraId="3B49BB64" w14:textId="77777777" w:rsidR="00FB7FC2" w:rsidRDefault="00FB7FC2" w:rsidP="007A5E54">
      <w:pPr>
        <w:numPr>
          <w:ilvl w:val="0"/>
          <w:numId w:val="91"/>
        </w:numPr>
        <w:contextualSpacing/>
      </w:pPr>
      <w:r>
        <w:lastRenderedPageBreak/>
        <w:t>Describe the tax treatment of Simplified Employee Pension IRA contributions and distributions; and</w:t>
      </w:r>
    </w:p>
    <w:p w14:paraId="16A6B98E" w14:textId="77777777" w:rsidR="00FB7FC2" w:rsidRPr="004B5CC6" w:rsidRDefault="00FB7FC2" w:rsidP="007A5E54">
      <w:pPr>
        <w:numPr>
          <w:ilvl w:val="0"/>
          <w:numId w:val="91"/>
        </w:numPr>
        <w:contextualSpacing/>
      </w:pPr>
      <w:r>
        <w:t>Explain the rules applicable to Simplified Employee Pension IRA rollovers.</w:t>
      </w:r>
    </w:p>
    <w:p w14:paraId="15294857" w14:textId="77777777" w:rsidR="007570A7" w:rsidRPr="0099630E" w:rsidRDefault="002E3AA0" w:rsidP="00891F6C">
      <w:pPr>
        <w:pStyle w:val="Heading2"/>
        <w:rPr>
          <w:sz w:val="22"/>
          <w:szCs w:val="22"/>
        </w:rPr>
      </w:pPr>
      <w:bookmarkStart w:id="148" w:name="_Toc48025276"/>
      <w:bookmarkStart w:id="149" w:name="_Toc404357220"/>
      <w:r w:rsidRPr="0099630E">
        <w:t>Introduction</w:t>
      </w:r>
      <w:bookmarkEnd w:id="148"/>
      <w:bookmarkEnd w:id="149"/>
    </w:p>
    <w:p w14:paraId="6BC8FD95" w14:textId="77777777" w:rsidR="002E3AA0" w:rsidRDefault="002E3AA0" w:rsidP="00825E0B">
      <w:pPr>
        <w:rPr>
          <w:szCs w:val="22"/>
        </w:rPr>
      </w:pPr>
      <w:r>
        <w:rPr>
          <w:szCs w:val="22"/>
        </w:rPr>
        <w:t>Employers have long understood that qualified retirement plans make good sense for both employees and employers.</w:t>
      </w:r>
      <w:r w:rsidR="00297ACB">
        <w:rPr>
          <w:szCs w:val="22"/>
        </w:rPr>
        <w:t xml:space="preserve"> </w:t>
      </w:r>
      <w:r>
        <w:rPr>
          <w:szCs w:val="22"/>
        </w:rPr>
        <w:t>Among other benefits, they provide a way of humanely retiring older workers to make room for the promotion of younger workers.</w:t>
      </w:r>
      <w:r w:rsidR="00297ACB">
        <w:rPr>
          <w:szCs w:val="22"/>
        </w:rPr>
        <w:t xml:space="preserve"> </w:t>
      </w:r>
      <w:r w:rsidR="000734F4">
        <w:rPr>
          <w:szCs w:val="22"/>
        </w:rPr>
        <w:t>Furthermore, in a business environment in which many competitors make qualified plans available, the lack of a plan makes recruiting and retaining motivated employees more difficult.</w:t>
      </w:r>
    </w:p>
    <w:p w14:paraId="18B51E04" w14:textId="77777777" w:rsidR="000734F4" w:rsidRDefault="000734F4" w:rsidP="00825E0B">
      <w:pPr>
        <w:rPr>
          <w:szCs w:val="22"/>
        </w:rPr>
      </w:pPr>
      <w:r>
        <w:rPr>
          <w:szCs w:val="22"/>
        </w:rPr>
        <w:t>Despite these and other obvious advantages of qualified plans, many employers have been reluctant to install a qualified retirement plan.</w:t>
      </w:r>
      <w:r w:rsidR="00297ACB">
        <w:rPr>
          <w:szCs w:val="22"/>
        </w:rPr>
        <w:t xml:space="preserve"> </w:t>
      </w:r>
      <w:r>
        <w:rPr>
          <w:szCs w:val="22"/>
        </w:rPr>
        <w:t>Among the disadvantages of installing a qualified plan cited are:</w:t>
      </w:r>
    </w:p>
    <w:p w14:paraId="774D2DAE" w14:textId="77777777" w:rsidR="000734F4" w:rsidRPr="00AB1FBB" w:rsidRDefault="000734F4" w:rsidP="007A5E54">
      <w:pPr>
        <w:numPr>
          <w:ilvl w:val="0"/>
          <w:numId w:val="23"/>
        </w:numPr>
        <w:contextualSpacing/>
      </w:pPr>
      <w:r w:rsidRPr="00AB1FBB">
        <w:t>High levels of paperwork and bookkeeping needed</w:t>
      </w:r>
      <w:r w:rsidR="0053362F">
        <w:t>;</w:t>
      </w:r>
    </w:p>
    <w:p w14:paraId="66DE6F2F" w14:textId="77777777" w:rsidR="000734F4" w:rsidRPr="00AB1FBB" w:rsidRDefault="000734F4" w:rsidP="007A5E54">
      <w:pPr>
        <w:numPr>
          <w:ilvl w:val="0"/>
          <w:numId w:val="23"/>
        </w:numPr>
        <w:contextualSpacing/>
      </w:pPr>
      <w:r w:rsidRPr="00AB1FBB">
        <w:t>High costs of various consultants, such as lawyers, accountants and actuaries</w:t>
      </w:r>
      <w:r w:rsidR="0053362F">
        <w:t>;</w:t>
      </w:r>
    </w:p>
    <w:p w14:paraId="7E5C4B64" w14:textId="77777777" w:rsidR="000734F4" w:rsidRPr="00AB1FBB" w:rsidRDefault="000734F4" w:rsidP="007A5E54">
      <w:pPr>
        <w:numPr>
          <w:ilvl w:val="0"/>
          <w:numId w:val="23"/>
        </w:numPr>
        <w:contextualSpacing/>
      </w:pPr>
      <w:r w:rsidRPr="00AB1FBB">
        <w:t>Assumption of a fiduciary responsibility</w:t>
      </w:r>
      <w:r w:rsidR="0053362F">
        <w:t>; and</w:t>
      </w:r>
    </w:p>
    <w:p w14:paraId="35C53C0E" w14:textId="77777777" w:rsidR="000734F4" w:rsidRPr="00AB1FBB" w:rsidRDefault="000734F4" w:rsidP="007A5E54">
      <w:pPr>
        <w:numPr>
          <w:ilvl w:val="0"/>
          <w:numId w:val="23"/>
        </w:numPr>
      </w:pPr>
      <w:r w:rsidRPr="00AB1FBB">
        <w:t>Contribution inflexibility</w:t>
      </w:r>
      <w:r w:rsidR="0053362F">
        <w:t>.</w:t>
      </w:r>
    </w:p>
    <w:p w14:paraId="6A9DC152" w14:textId="77777777" w:rsidR="00F22EF1" w:rsidRDefault="00531FC7" w:rsidP="00825E0B">
      <w:pPr>
        <w:rPr>
          <w:szCs w:val="22"/>
        </w:rPr>
      </w:pPr>
      <w:r>
        <w:rPr>
          <w:szCs w:val="22"/>
        </w:rPr>
        <w:t>In order to overcome some of the obstacles that employers saw to the establishment of a qualified retirement plan for their firms, Congress authorized a simplified employee pension</w:t>
      </w:r>
      <w:r w:rsidR="00F22EF1">
        <w:rPr>
          <w:szCs w:val="22"/>
        </w:rPr>
        <w:t xml:space="preserve"> (SEP)</w:t>
      </w:r>
      <w:r w:rsidR="00A95039">
        <w:rPr>
          <w:szCs w:val="22"/>
        </w:rPr>
        <w:fldChar w:fldCharType="begin"/>
      </w:r>
      <w:r w:rsidR="00500F1D">
        <w:instrText xml:space="preserve"> XE "</w:instrText>
      </w:r>
      <w:r w:rsidR="00500F1D" w:rsidRPr="00CD56BD">
        <w:rPr>
          <w:szCs w:val="22"/>
        </w:rPr>
        <w:instrText>simplified employee pension (SEP)</w:instrText>
      </w:r>
      <w:r w:rsidR="00500F1D">
        <w:instrText xml:space="preserve">" </w:instrText>
      </w:r>
      <w:r w:rsidR="00A95039">
        <w:rPr>
          <w:szCs w:val="22"/>
        </w:rPr>
        <w:fldChar w:fldCharType="end"/>
      </w:r>
      <w:r w:rsidR="00F22EF1">
        <w:rPr>
          <w:szCs w:val="22"/>
        </w:rPr>
        <w:t xml:space="preserve"> as an alternative to a qualified retirement plan.</w:t>
      </w:r>
      <w:r w:rsidR="00297ACB">
        <w:rPr>
          <w:szCs w:val="22"/>
        </w:rPr>
        <w:t xml:space="preserve"> </w:t>
      </w:r>
      <w:r w:rsidR="00F22EF1">
        <w:rPr>
          <w:szCs w:val="22"/>
        </w:rPr>
        <w:t>Similar, in some respects, to a profit sharing plan, a SEP couples design simplicity with a high level of contribution flexibility.</w:t>
      </w:r>
    </w:p>
    <w:p w14:paraId="410E57A2" w14:textId="77777777" w:rsidR="000734F4" w:rsidRDefault="00F22EF1" w:rsidP="00825E0B">
      <w:pPr>
        <w:rPr>
          <w:szCs w:val="22"/>
        </w:rPr>
      </w:pPr>
      <w:r>
        <w:rPr>
          <w:szCs w:val="22"/>
        </w:rPr>
        <w:t>In reality, a SEP is nothing more than an employer’s agreement to contribute to traditional IRAs that are maintained by employees.</w:t>
      </w:r>
      <w:r w:rsidR="00297ACB">
        <w:rPr>
          <w:szCs w:val="22"/>
        </w:rPr>
        <w:t xml:space="preserve"> </w:t>
      </w:r>
      <w:r>
        <w:rPr>
          <w:szCs w:val="22"/>
        </w:rPr>
        <w:t>The plan can be adopted by an employer by completing a fairly simple IRS form, rather than the much more complicated procedure involved in installing a qualified retirement plan.</w:t>
      </w:r>
      <w:r w:rsidR="00297ACB">
        <w:rPr>
          <w:szCs w:val="22"/>
        </w:rPr>
        <w:t xml:space="preserve"> </w:t>
      </w:r>
      <w:r>
        <w:rPr>
          <w:szCs w:val="22"/>
        </w:rPr>
        <w:t>As in all tax-favored plans, the contributions must be on a nondiscriminatory basis.</w:t>
      </w:r>
      <w:r w:rsidR="00297ACB">
        <w:rPr>
          <w:szCs w:val="22"/>
        </w:rPr>
        <w:t xml:space="preserve"> </w:t>
      </w:r>
      <w:r>
        <w:rPr>
          <w:szCs w:val="22"/>
        </w:rPr>
        <w:t>A SEP, because of its utter simplicity, is significantly easier and less expensive to install and administer than a qualified retirement plan.</w:t>
      </w:r>
      <w:r w:rsidR="00297ACB">
        <w:rPr>
          <w:szCs w:val="22"/>
        </w:rPr>
        <w:t xml:space="preserve"> </w:t>
      </w:r>
      <w:r>
        <w:rPr>
          <w:szCs w:val="22"/>
        </w:rPr>
        <w:t>As a result, the need for the various consultants normally associated with the establishment of a qualified retirement is minimized, further reducing the employer’s cost.</w:t>
      </w:r>
    </w:p>
    <w:p w14:paraId="5E44AA75" w14:textId="77777777" w:rsidR="0054255F" w:rsidRDefault="00C0650B" w:rsidP="00825E0B">
      <w:pPr>
        <w:rPr>
          <w:szCs w:val="22"/>
        </w:rPr>
      </w:pPr>
      <w:r>
        <w:rPr>
          <w:szCs w:val="22"/>
        </w:rPr>
        <w:t>When SEPs were initially introduced, employer</w:t>
      </w:r>
      <w:r w:rsidR="0054255F">
        <w:rPr>
          <w:szCs w:val="22"/>
        </w:rPr>
        <w:t>s with 25 or fewer employees</w:t>
      </w:r>
      <w:r>
        <w:rPr>
          <w:szCs w:val="22"/>
        </w:rPr>
        <w:t xml:space="preserve"> </w:t>
      </w:r>
      <w:r w:rsidR="0054255F">
        <w:rPr>
          <w:szCs w:val="22"/>
        </w:rPr>
        <w:t>were also permitted to establish plans that offer employees the opportunity to defer a portion of their income under a salary reduction SEP</w:t>
      </w:r>
      <w:r w:rsidR="00A95039">
        <w:rPr>
          <w:szCs w:val="22"/>
        </w:rPr>
        <w:fldChar w:fldCharType="begin"/>
      </w:r>
      <w:r w:rsidR="00500F1D">
        <w:instrText xml:space="preserve"> XE "</w:instrText>
      </w:r>
      <w:r w:rsidR="00500F1D" w:rsidRPr="00CD56BD">
        <w:rPr>
          <w:szCs w:val="22"/>
        </w:rPr>
        <w:instrText>salary reduction SEP</w:instrText>
      </w:r>
      <w:r w:rsidR="00500F1D">
        <w:instrText xml:space="preserve">" </w:instrText>
      </w:r>
      <w:r w:rsidR="00A95039">
        <w:rPr>
          <w:szCs w:val="22"/>
        </w:rPr>
        <w:fldChar w:fldCharType="end"/>
      </w:r>
      <w:r w:rsidR="0054255F">
        <w:rPr>
          <w:szCs w:val="22"/>
        </w:rPr>
        <w:t xml:space="preserve"> known as a SAR-SEP</w:t>
      </w:r>
      <w:r w:rsidR="00006942">
        <w:rPr>
          <w:szCs w:val="22"/>
        </w:rPr>
        <w:t>—an arrangement similar to a 401(k) elective deferral</w:t>
      </w:r>
      <w:r w:rsidR="0054255F">
        <w:rPr>
          <w:szCs w:val="22"/>
        </w:rPr>
        <w:t>.</w:t>
      </w:r>
      <w:r w:rsidR="00297ACB">
        <w:rPr>
          <w:szCs w:val="22"/>
        </w:rPr>
        <w:t xml:space="preserve"> </w:t>
      </w:r>
      <w:r w:rsidR="0054255F">
        <w:rPr>
          <w:szCs w:val="22"/>
        </w:rPr>
        <w:t>These SAR-SEPs were replaced for employers seeking to allow employees to make elective deferrals for years beginning after 1996</w:t>
      </w:r>
      <w:r>
        <w:rPr>
          <w:szCs w:val="22"/>
        </w:rPr>
        <w:t xml:space="preserve"> </w:t>
      </w:r>
      <w:r w:rsidR="0054255F">
        <w:rPr>
          <w:szCs w:val="22"/>
        </w:rPr>
        <w:t>by savings incentive match plans for employees, more commonly known as SIMPLEs.</w:t>
      </w:r>
      <w:r w:rsidR="00297ACB">
        <w:rPr>
          <w:szCs w:val="22"/>
        </w:rPr>
        <w:t xml:space="preserve"> </w:t>
      </w:r>
      <w:r w:rsidR="0054255F">
        <w:rPr>
          <w:szCs w:val="22"/>
        </w:rPr>
        <w:t>We will examine SIMPLE IRA plans in the next lesson.</w:t>
      </w:r>
      <w:r w:rsidR="00297ACB">
        <w:rPr>
          <w:szCs w:val="22"/>
        </w:rPr>
        <w:t xml:space="preserve"> </w:t>
      </w:r>
      <w:r w:rsidR="0054255F">
        <w:rPr>
          <w:szCs w:val="22"/>
        </w:rPr>
        <w:t xml:space="preserve">Although employers may not establish </w:t>
      </w:r>
      <w:r w:rsidR="00006942">
        <w:rPr>
          <w:szCs w:val="22"/>
        </w:rPr>
        <w:t xml:space="preserve">new </w:t>
      </w:r>
      <w:r w:rsidR="0054255F">
        <w:rPr>
          <w:szCs w:val="22"/>
        </w:rPr>
        <w:t>SAR-SEPs after 1996, employers are permitted to continue to make contributions to existing SAR-SEPs</w:t>
      </w:r>
      <w:r w:rsidR="00006942">
        <w:rPr>
          <w:szCs w:val="22"/>
        </w:rPr>
        <w:t>, and employees hired after 1996 may participate in the salary reduction SEP.</w:t>
      </w:r>
      <w:r w:rsidR="00297ACB">
        <w:rPr>
          <w:szCs w:val="22"/>
        </w:rPr>
        <w:t xml:space="preserve"> </w:t>
      </w:r>
      <w:r w:rsidR="00006942">
        <w:rPr>
          <w:szCs w:val="22"/>
        </w:rPr>
        <w:t>Elective deferrals under a SAR-SEP are treated much like 401(k) elective deferrals and are subject to the usual annual limitation on elective deferrals.</w:t>
      </w:r>
    </w:p>
    <w:p w14:paraId="0B4C24B9" w14:textId="77777777" w:rsidR="008D51AC" w:rsidRDefault="008D51AC" w:rsidP="00825E0B">
      <w:pPr>
        <w:rPr>
          <w:szCs w:val="22"/>
        </w:rPr>
      </w:pPr>
      <w:r>
        <w:rPr>
          <w:szCs w:val="22"/>
        </w:rPr>
        <w:t>A SEP allows for higher contribution levels than traditional or Roth IRAs</w:t>
      </w:r>
      <w:r w:rsidR="00A95039">
        <w:rPr>
          <w:szCs w:val="22"/>
        </w:rPr>
        <w:fldChar w:fldCharType="begin"/>
      </w:r>
      <w:r w:rsidR="00293611">
        <w:instrText xml:space="preserve"> XE "</w:instrText>
      </w:r>
      <w:r w:rsidR="00293611" w:rsidRPr="00CD56BD">
        <w:instrText>Roth IRAs</w:instrText>
      </w:r>
      <w:r w:rsidR="00293611">
        <w:instrText xml:space="preserve">" </w:instrText>
      </w:r>
      <w:r w:rsidR="00A95039">
        <w:rPr>
          <w:szCs w:val="22"/>
        </w:rPr>
        <w:fldChar w:fldCharType="end"/>
      </w:r>
      <w:r>
        <w:rPr>
          <w:szCs w:val="22"/>
        </w:rPr>
        <w:t>, has fewer restrictions than qualified retirement plans and, unlike SIMPLEs, there is no limit on the number of employees in the plan.</w:t>
      </w:r>
      <w:r w:rsidR="00297ACB">
        <w:rPr>
          <w:szCs w:val="22"/>
        </w:rPr>
        <w:t xml:space="preserve"> </w:t>
      </w:r>
      <w:r w:rsidR="0051242B">
        <w:rPr>
          <w:szCs w:val="22"/>
        </w:rPr>
        <w:t>Employees are immediately 100 percent vested in their accounts.</w:t>
      </w:r>
    </w:p>
    <w:p w14:paraId="032974FF" w14:textId="77777777" w:rsidR="00006942" w:rsidRPr="0099630E" w:rsidRDefault="00006942" w:rsidP="001332B9">
      <w:pPr>
        <w:pStyle w:val="Heading2"/>
        <w:rPr>
          <w:sz w:val="22"/>
          <w:szCs w:val="22"/>
        </w:rPr>
      </w:pPr>
      <w:bookmarkStart w:id="150" w:name="_Toc48025277"/>
      <w:bookmarkStart w:id="151" w:name="_Toc404357221"/>
      <w:r w:rsidRPr="0099630E">
        <w:t>Contributions</w:t>
      </w:r>
      <w:bookmarkEnd w:id="150"/>
      <w:bookmarkEnd w:id="151"/>
    </w:p>
    <w:p w14:paraId="687A1F6B" w14:textId="77777777" w:rsidR="00006942" w:rsidRDefault="008D51AC" w:rsidP="00825E0B">
      <w:pPr>
        <w:rPr>
          <w:szCs w:val="22"/>
        </w:rPr>
      </w:pPr>
      <w:r>
        <w:rPr>
          <w:szCs w:val="22"/>
        </w:rPr>
        <w:t xml:space="preserve">Let’s turn our attention now to an examination of </w:t>
      </w:r>
      <w:r w:rsidR="00A606FC">
        <w:rPr>
          <w:szCs w:val="22"/>
        </w:rPr>
        <w:t>the important characteristics of SEPs, beginning with the rules governing contributions.</w:t>
      </w:r>
    </w:p>
    <w:p w14:paraId="30144256" w14:textId="77777777" w:rsidR="000E3B50" w:rsidRDefault="000E3B50" w:rsidP="00825E0B">
      <w:pPr>
        <w:rPr>
          <w:szCs w:val="22"/>
        </w:rPr>
      </w:pPr>
      <w:r>
        <w:rPr>
          <w:szCs w:val="22"/>
        </w:rPr>
        <w:lastRenderedPageBreak/>
        <w:t xml:space="preserve">Contributions made to a SEP by an employer are, in reality, made to the employees’ individual retirement accounts </w:t>
      </w:r>
      <w:r>
        <w:rPr>
          <w:i/>
          <w:szCs w:val="22"/>
        </w:rPr>
        <w:t>that are owned by the employees</w:t>
      </w:r>
      <w:r>
        <w:rPr>
          <w:szCs w:val="22"/>
        </w:rPr>
        <w:t>.</w:t>
      </w:r>
      <w:r w:rsidR="00297ACB">
        <w:rPr>
          <w:szCs w:val="22"/>
        </w:rPr>
        <w:t xml:space="preserve"> </w:t>
      </w:r>
      <w:r>
        <w:rPr>
          <w:szCs w:val="22"/>
        </w:rPr>
        <w:t>The plan offers the typical employer and employee qualified plan tax advantages enjoyed on contributions:</w:t>
      </w:r>
    </w:p>
    <w:p w14:paraId="1441AE64" w14:textId="77777777" w:rsidR="000E3B50" w:rsidRPr="00AB1FBB" w:rsidRDefault="000E3B50" w:rsidP="007A5E54">
      <w:pPr>
        <w:numPr>
          <w:ilvl w:val="0"/>
          <w:numId w:val="24"/>
        </w:numPr>
        <w:contextualSpacing/>
      </w:pPr>
      <w:r w:rsidRPr="00AB1FBB">
        <w:t>SEP contributions are deductible by the employer</w:t>
      </w:r>
      <w:r w:rsidR="00782865">
        <w:t>;</w:t>
      </w:r>
      <w:r w:rsidR="00AB1FBB" w:rsidRPr="00AB1FBB">
        <w:t xml:space="preserve"> </w:t>
      </w:r>
      <w:r w:rsidRPr="00AB1FBB">
        <w:t>and</w:t>
      </w:r>
    </w:p>
    <w:p w14:paraId="36CC014E" w14:textId="77777777" w:rsidR="000E3B50" w:rsidRPr="00AB1FBB" w:rsidRDefault="000E3B50" w:rsidP="007A5E54">
      <w:pPr>
        <w:numPr>
          <w:ilvl w:val="0"/>
          <w:numId w:val="24"/>
        </w:numPr>
      </w:pPr>
      <w:r w:rsidRPr="00AB1FBB">
        <w:t>SEP contributions are excluded from the employee’s current income</w:t>
      </w:r>
      <w:r w:rsidR="00782865">
        <w:t>.</w:t>
      </w:r>
    </w:p>
    <w:p w14:paraId="4B5AD20B" w14:textId="77777777" w:rsidR="000E3B50" w:rsidRDefault="0006301F" w:rsidP="00825E0B">
      <w:pPr>
        <w:rPr>
          <w:szCs w:val="22"/>
        </w:rPr>
      </w:pPr>
      <w:r>
        <w:rPr>
          <w:szCs w:val="22"/>
        </w:rPr>
        <w:t>In addition, plan earnings are tax deferred until distributed.</w:t>
      </w:r>
      <w:r w:rsidR="00297ACB">
        <w:rPr>
          <w:szCs w:val="22"/>
        </w:rPr>
        <w:t xml:space="preserve"> </w:t>
      </w:r>
      <w:r w:rsidR="000E3B50">
        <w:rPr>
          <w:szCs w:val="22"/>
        </w:rPr>
        <w:t>Contributions to a SEP may be made by the employer up to the time of its tax filing, including any extensions.</w:t>
      </w:r>
    </w:p>
    <w:p w14:paraId="7638DF7D" w14:textId="77777777" w:rsidR="00BA271D" w:rsidRDefault="00BA271D" w:rsidP="00BA271D">
      <w:pPr>
        <w:pStyle w:val="Heading3"/>
      </w:pPr>
      <w:bookmarkStart w:id="152" w:name="_Toc404357222"/>
      <w:r>
        <w:t>Defined Contribution Plan Limits Apply</w:t>
      </w:r>
      <w:bookmarkEnd w:id="152"/>
    </w:p>
    <w:p w14:paraId="7EE2A309" w14:textId="77777777" w:rsidR="000E3B50" w:rsidRDefault="000E3B50" w:rsidP="00825E0B">
      <w:pPr>
        <w:rPr>
          <w:szCs w:val="22"/>
        </w:rPr>
      </w:pPr>
      <w:r>
        <w:rPr>
          <w:szCs w:val="22"/>
        </w:rPr>
        <w:t>Similar to the flexibility found in profit sharing plans, employers may make SEP contributions on a discretionary basis and may choose, in any tax year, to make no contributi</w:t>
      </w:r>
      <w:r w:rsidR="00D515A0">
        <w:rPr>
          <w:szCs w:val="22"/>
        </w:rPr>
        <w:t>on</w:t>
      </w:r>
      <w:r>
        <w:rPr>
          <w:szCs w:val="22"/>
        </w:rPr>
        <w:t xml:space="preserve"> to the plan.</w:t>
      </w:r>
      <w:r w:rsidR="00297ACB">
        <w:rPr>
          <w:szCs w:val="22"/>
        </w:rPr>
        <w:t xml:space="preserve"> </w:t>
      </w:r>
      <w:r w:rsidR="00B858F5">
        <w:rPr>
          <w:szCs w:val="22"/>
        </w:rPr>
        <w:t>SEPs are treated as defined contribution plans for the overall limits on employer contributions.</w:t>
      </w:r>
      <w:r w:rsidR="00297ACB">
        <w:rPr>
          <w:szCs w:val="22"/>
        </w:rPr>
        <w:t xml:space="preserve"> </w:t>
      </w:r>
      <w:r>
        <w:rPr>
          <w:szCs w:val="22"/>
        </w:rPr>
        <w:t xml:space="preserve">Employer contributions </w:t>
      </w:r>
      <w:r w:rsidR="001C52F7">
        <w:rPr>
          <w:szCs w:val="22"/>
        </w:rPr>
        <w:t>in 20</w:t>
      </w:r>
      <w:r w:rsidR="00E74135">
        <w:rPr>
          <w:szCs w:val="22"/>
        </w:rPr>
        <w:t>1</w:t>
      </w:r>
      <w:r w:rsidR="00D23200">
        <w:rPr>
          <w:szCs w:val="22"/>
        </w:rPr>
        <w:t>5</w:t>
      </w:r>
      <w:r w:rsidR="001C52F7">
        <w:rPr>
          <w:szCs w:val="22"/>
        </w:rPr>
        <w:t xml:space="preserve"> </w:t>
      </w:r>
      <w:r w:rsidR="00B858F5">
        <w:rPr>
          <w:szCs w:val="22"/>
        </w:rPr>
        <w:t>are, therefore, limited to no more than the lesser of 25</w:t>
      </w:r>
      <w:r w:rsidR="003911A9">
        <w:rPr>
          <w:szCs w:val="22"/>
        </w:rPr>
        <w:t xml:space="preserve"> percent of compensation and $</w:t>
      </w:r>
      <w:r w:rsidR="00782865">
        <w:rPr>
          <w:szCs w:val="22"/>
        </w:rPr>
        <w:t>5</w:t>
      </w:r>
      <w:r w:rsidR="00D23200">
        <w:rPr>
          <w:szCs w:val="22"/>
        </w:rPr>
        <w:t>3</w:t>
      </w:r>
      <w:r w:rsidR="00B858F5">
        <w:rPr>
          <w:szCs w:val="22"/>
        </w:rPr>
        <w:t>,000.</w:t>
      </w:r>
    </w:p>
    <w:p w14:paraId="57958E5F" w14:textId="77777777" w:rsidR="004D291F" w:rsidRDefault="004D291F" w:rsidP="00825E0B">
      <w:pPr>
        <w:rPr>
          <w:szCs w:val="22"/>
        </w:rPr>
      </w:pPr>
      <w:r>
        <w:t xml:space="preserve">For example, the maximum SEP contribution for an employee who earns $50,000 would be $12,500.  </w:t>
      </w:r>
      <w:r w:rsidR="00FF7C26">
        <w:t xml:space="preserve">($50,000 x .25 = $12,500) </w:t>
      </w:r>
      <w:r>
        <w:t>The maximum contribution for an employee who earns $2</w:t>
      </w:r>
      <w:r w:rsidR="00FF7C26">
        <w:t>1</w:t>
      </w:r>
      <w:r w:rsidR="00D23200">
        <w:t>2</w:t>
      </w:r>
      <w:r>
        <w:t>,000 would be $5</w:t>
      </w:r>
      <w:r w:rsidR="00D23200">
        <w:t>3</w:t>
      </w:r>
      <w:r>
        <w:t>,000 (in 201</w:t>
      </w:r>
      <w:r w:rsidR="00D23200">
        <w:t>5</w:t>
      </w:r>
      <w:r>
        <w:t>).</w:t>
      </w:r>
    </w:p>
    <w:p w14:paraId="1F83C754" w14:textId="77777777" w:rsidR="00BA271D" w:rsidRDefault="00BA271D" w:rsidP="00BA271D">
      <w:pPr>
        <w:pStyle w:val="Heading3"/>
      </w:pPr>
      <w:bookmarkStart w:id="153" w:name="_Toc404357223"/>
      <w:r>
        <w:t>Certain Employees Must Be Included</w:t>
      </w:r>
      <w:bookmarkEnd w:id="153"/>
    </w:p>
    <w:p w14:paraId="1D829BD0" w14:textId="77777777" w:rsidR="00B858F5" w:rsidRDefault="00B858F5" w:rsidP="00825E0B">
      <w:pPr>
        <w:rPr>
          <w:szCs w:val="22"/>
        </w:rPr>
      </w:pPr>
      <w:r>
        <w:rPr>
          <w:szCs w:val="22"/>
        </w:rPr>
        <w:t xml:space="preserve">In any year in which an employer makes a contribution to a SEP, </w:t>
      </w:r>
      <w:r w:rsidR="003C4B02">
        <w:rPr>
          <w:szCs w:val="22"/>
        </w:rPr>
        <w:t>a contribution must be made for any employee—including a leased employee—who meets all of the following criteria and is not otherwise excluded.</w:t>
      </w:r>
      <w:r w:rsidR="00297ACB">
        <w:rPr>
          <w:szCs w:val="22"/>
        </w:rPr>
        <w:t xml:space="preserve"> </w:t>
      </w:r>
      <w:r w:rsidR="003C4B02">
        <w:rPr>
          <w:szCs w:val="22"/>
        </w:rPr>
        <w:t>A SEP contribution must be allocated to an employee who:</w:t>
      </w:r>
    </w:p>
    <w:p w14:paraId="36A03A2D" w14:textId="77777777" w:rsidR="003C4B02" w:rsidRPr="00AB1FBB" w:rsidRDefault="003C4B02" w:rsidP="007A5E54">
      <w:pPr>
        <w:numPr>
          <w:ilvl w:val="0"/>
          <w:numId w:val="25"/>
        </w:numPr>
        <w:contextualSpacing/>
      </w:pPr>
      <w:r w:rsidRPr="00AB1FBB">
        <w:t>Is at least 21 years old</w:t>
      </w:r>
      <w:r w:rsidR="00782865">
        <w:t>;</w:t>
      </w:r>
    </w:p>
    <w:p w14:paraId="3BE4B25B" w14:textId="77777777" w:rsidR="003C4B02" w:rsidRPr="00AB1FBB" w:rsidRDefault="003C4B02" w:rsidP="007A5E54">
      <w:pPr>
        <w:numPr>
          <w:ilvl w:val="0"/>
          <w:numId w:val="25"/>
        </w:numPr>
        <w:contextualSpacing/>
      </w:pPr>
      <w:r w:rsidRPr="00AB1FBB">
        <w:t>Has performed services for the employer during the year for which contribution is made</w:t>
      </w:r>
      <w:r w:rsidR="00782865">
        <w:t>;</w:t>
      </w:r>
      <w:r w:rsidR="00AB1FBB" w:rsidRPr="00AB1FBB">
        <w:t xml:space="preserve"> </w:t>
      </w:r>
      <w:r w:rsidRPr="00AB1FBB">
        <w:t>and</w:t>
      </w:r>
    </w:p>
    <w:p w14:paraId="4F9B1703" w14:textId="77777777" w:rsidR="003C4B02" w:rsidRPr="00AB1FBB" w:rsidRDefault="003C4B02" w:rsidP="007A5E54">
      <w:pPr>
        <w:numPr>
          <w:ilvl w:val="0"/>
          <w:numId w:val="25"/>
        </w:numPr>
      </w:pPr>
      <w:r w:rsidRPr="00AB1FBB">
        <w:t>Has earned at least $</w:t>
      </w:r>
      <w:r w:rsidR="00D23200">
        <w:t>600</w:t>
      </w:r>
      <w:r w:rsidRPr="00AB1FBB">
        <w:t xml:space="preserve"> in at least 3 of the preceding 5 years</w:t>
      </w:r>
      <w:r w:rsidR="00782865">
        <w:t>.</w:t>
      </w:r>
    </w:p>
    <w:p w14:paraId="0BCEB2A6" w14:textId="77777777" w:rsidR="003C4B02" w:rsidRDefault="003C4B02" w:rsidP="00825E0B">
      <w:pPr>
        <w:rPr>
          <w:szCs w:val="22"/>
        </w:rPr>
      </w:pPr>
      <w:r>
        <w:rPr>
          <w:szCs w:val="22"/>
        </w:rPr>
        <w:t>Few employees may be excluded from an employer’s SEP.</w:t>
      </w:r>
      <w:r w:rsidR="00297ACB">
        <w:rPr>
          <w:szCs w:val="22"/>
        </w:rPr>
        <w:t xml:space="preserve"> </w:t>
      </w:r>
      <w:r>
        <w:rPr>
          <w:szCs w:val="22"/>
        </w:rPr>
        <w:t>Those employees that may be excluded are employees</w:t>
      </w:r>
      <w:r w:rsidR="009F081A">
        <w:rPr>
          <w:szCs w:val="22"/>
        </w:rPr>
        <w:t xml:space="preserve"> that are</w:t>
      </w:r>
      <w:r>
        <w:rPr>
          <w:szCs w:val="22"/>
        </w:rPr>
        <w:t>:</w:t>
      </w:r>
    </w:p>
    <w:p w14:paraId="13A834A4" w14:textId="77777777" w:rsidR="003C4B02" w:rsidRPr="00AB1FBB" w:rsidRDefault="003C4B02" w:rsidP="007A5E54">
      <w:pPr>
        <w:numPr>
          <w:ilvl w:val="0"/>
          <w:numId w:val="26"/>
        </w:numPr>
        <w:contextualSpacing/>
      </w:pPr>
      <w:r>
        <w:t xml:space="preserve">Covered by a collective bargaining agreement </w:t>
      </w:r>
      <w:r w:rsidRPr="00AB1FBB">
        <w:rPr>
          <w:i/>
        </w:rPr>
        <w:t>if retirement benefits have been the subject of good faith bargaining</w:t>
      </w:r>
      <w:r w:rsidR="00782865">
        <w:t>;</w:t>
      </w:r>
      <w:r w:rsidR="00AB1FBB">
        <w:t xml:space="preserve"> </w:t>
      </w:r>
      <w:r w:rsidR="009F081A">
        <w:t>a</w:t>
      </w:r>
      <w:r>
        <w:t>nd</w:t>
      </w:r>
    </w:p>
    <w:p w14:paraId="36F8431B" w14:textId="77777777" w:rsidR="003C4B02" w:rsidRDefault="009F081A" w:rsidP="007A5E54">
      <w:pPr>
        <w:numPr>
          <w:ilvl w:val="0"/>
          <w:numId w:val="26"/>
        </w:numPr>
      </w:pPr>
      <w:r>
        <w:t>N</w:t>
      </w:r>
      <w:r w:rsidR="003C4B02">
        <w:t>on-resident aliens</w:t>
      </w:r>
      <w:r>
        <w:t>, if they received no income from the employer from U.S. sources</w:t>
      </w:r>
      <w:r w:rsidR="00782865">
        <w:t>.</w:t>
      </w:r>
    </w:p>
    <w:p w14:paraId="6D33403E" w14:textId="77777777" w:rsidR="009F081A" w:rsidRDefault="009F081A" w:rsidP="00825E0B">
      <w:pPr>
        <w:rPr>
          <w:szCs w:val="22"/>
        </w:rPr>
      </w:pPr>
      <w:r>
        <w:rPr>
          <w:szCs w:val="22"/>
        </w:rPr>
        <w:t>Any employer establishing a SEP may impose fewer conditions for an employee to qualify to receive a contribution—the age may be reduced from 21 to 18, for example—</w:t>
      </w:r>
      <w:r w:rsidR="005646DE">
        <w:rPr>
          <w:szCs w:val="22"/>
        </w:rPr>
        <w:t>but it may not make the requirements more stringent.</w:t>
      </w:r>
    </w:p>
    <w:p w14:paraId="623477C4" w14:textId="77777777" w:rsidR="00BA271D" w:rsidRDefault="00BA271D" w:rsidP="00BA271D">
      <w:pPr>
        <w:pStyle w:val="Heading3"/>
      </w:pPr>
      <w:bookmarkStart w:id="154" w:name="_Toc404357224"/>
      <w:r>
        <w:t>SEP Integration Permitted</w:t>
      </w:r>
      <w:bookmarkEnd w:id="154"/>
    </w:p>
    <w:p w14:paraId="11E3941D" w14:textId="77777777" w:rsidR="00D768EE" w:rsidRDefault="005646DE" w:rsidP="00825E0B">
      <w:pPr>
        <w:rPr>
          <w:szCs w:val="22"/>
        </w:rPr>
      </w:pPr>
      <w:r>
        <w:rPr>
          <w:szCs w:val="22"/>
        </w:rPr>
        <w:t>Although contributions may not discriminate in favor of highly compensated employees, SEPs can be integrated</w:t>
      </w:r>
      <w:r w:rsidR="00FB6AF7">
        <w:rPr>
          <w:szCs w:val="22"/>
        </w:rPr>
        <w:t>—i.e. there may be a permitted disparity in allocations—</w:t>
      </w:r>
      <w:r>
        <w:rPr>
          <w:szCs w:val="22"/>
        </w:rPr>
        <w:t>in accordance with the rules that apply to defined contribution qualified plans.</w:t>
      </w:r>
      <w:r w:rsidR="00297ACB">
        <w:rPr>
          <w:szCs w:val="22"/>
        </w:rPr>
        <w:t xml:space="preserve"> </w:t>
      </w:r>
      <w:r>
        <w:rPr>
          <w:szCs w:val="22"/>
        </w:rPr>
        <w:t>An integrated SEP must provide for a uniform contribution disparity among all employees.</w:t>
      </w:r>
      <w:r w:rsidR="00297ACB">
        <w:rPr>
          <w:szCs w:val="22"/>
        </w:rPr>
        <w:t xml:space="preserve"> </w:t>
      </w:r>
      <w:r>
        <w:rPr>
          <w:szCs w:val="22"/>
        </w:rPr>
        <w:t>To be uniform, it must use the same</w:t>
      </w:r>
      <w:r w:rsidR="00D768EE">
        <w:rPr>
          <w:szCs w:val="22"/>
        </w:rPr>
        <w:t>:</w:t>
      </w:r>
    </w:p>
    <w:p w14:paraId="62B5E451" w14:textId="77777777" w:rsidR="00D768EE" w:rsidRPr="00AB1FBB" w:rsidRDefault="00D768EE" w:rsidP="007A5E54">
      <w:pPr>
        <w:numPr>
          <w:ilvl w:val="0"/>
          <w:numId w:val="27"/>
        </w:numPr>
        <w:contextualSpacing/>
      </w:pPr>
      <w:r w:rsidRPr="00AB1FBB">
        <w:t>B</w:t>
      </w:r>
      <w:r w:rsidR="005646DE" w:rsidRPr="00AB1FBB">
        <w:t>ase contribution percentage</w:t>
      </w:r>
      <w:r w:rsidR="00782865">
        <w:t>;</w:t>
      </w:r>
      <w:r w:rsidR="00AB1FBB" w:rsidRPr="00AB1FBB">
        <w:t xml:space="preserve"> </w:t>
      </w:r>
      <w:r w:rsidRPr="00AB1FBB">
        <w:t>and</w:t>
      </w:r>
    </w:p>
    <w:p w14:paraId="7704D1B6" w14:textId="77777777" w:rsidR="00D768EE" w:rsidRDefault="00D768EE" w:rsidP="007A5E54">
      <w:pPr>
        <w:numPr>
          <w:ilvl w:val="0"/>
          <w:numId w:val="27"/>
        </w:numPr>
      </w:pPr>
      <w:r w:rsidRPr="00AB1FBB">
        <w:t>Excess contribution percentage</w:t>
      </w:r>
      <w:r w:rsidR="00AB1FBB" w:rsidRPr="00AB1FBB">
        <w:t xml:space="preserve"> </w:t>
      </w:r>
      <w:r w:rsidRPr="00AB1FBB">
        <w:t>for all employees in the plan</w:t>
      </w:r>
      <w:r>
        <w:t>.</w:t>
      </w:r>
    </w:p>
    <w:p w14:paraId="0EEE2E9A" w14:textId="77777777" w:rsidR="00D768EE" w:rsidRDefault="0081742E" w:rsidP="00825E0B">
      <w:pPr>
        <w:rPr>
          <w:szCs w:val="22"/>
        </w:rPr>
      </w:pPr>
      <w:r>
        <w:rPr>
          <w:szCs w:val="22"/>
        </w:rPr>
        <w:t>The result of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is to take account of the portion of the Social Security tax paid by the employer that </w:t>
      </w:r>
      <w:r w:rsidR="00957F1D">
        <w:rPr>
          <w:szCs w:val="22"/>
        </w:rPr>
        <w:t xml:space="preserve">goes towards providing </w:t>
      </w:r>
      <w:r w:rsidR="00D23200">
        <w:rPr>
          <w:szCs w:val="22"/>
        </w:rPr>
        <w:t xml:space="preserve">employees’ </w:t>
      </w:r>
      <w:r w:rsidR="00957F1D">
        <w:rPr>
          <w:szCs w:val="22"/>
        </w:rPr>
        <w:t>Social Security retirement benefits.</w:t>
      </w:r>
    </w:p>
    <w:p w14:paraId="627E8A9B" w14:textId="77777777" w:rsidR="00D768EE" w:rsidRDefault="00D768EE" w:rsidP="00825E0B">
      <w:pPr>
        <w:rPr>
          <w:szCs w:val="22"/>
        </w:rPr>
      </w:pPr>
      <w:r>
        <w:rPr>
          <w:szCs w:val="22"/>
        </w:rPr>
        <w:lastRenderedPageBreak/>
        <w:t xml:space="preserve">In addition to being uniform, an integrated SEP must be a defined contribution excess plan, which is to say that the rate of </w:t>
      </w:r>
      <w:r w:rsidR="00330BC0">
        <w:rPr>
          <w:szCs w:val="22"/>
        </w:rPr>
        <w:t xml:space="preserve">contribution </w:t>
      </w:r>
      <w:r>
        <w:rPr>
          <w:szCs w:val="22"/>
        </w:rPr>
        <w:t>allocations above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level is greater than the rate of allocations at or below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level.</w:t>
      </w:r>
      <w:r w:rsidR="00297ACB">
        <w:rPr>
          <w:szCs w:val="22"/>
        </w:rPr>
        <w:t xml:space="preserve"> </w:t>
      </w:r>
      <w:r>
        <w:rPr>
          <w:szCs w:val="22"/>
        </w:rPr>
        <w:t>The disparity between the allocation above and below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level may not exceed the maximum excess allowance.</w:t>
      </w:r>
    </w:p>
    <w:p w14:paraId="2B985325" w14:textId="77777777" w:rsidR="00D768EE" w:rsidRDefault="00FB6AF7" w:rsidP="00825E0B">
      <w:pPr>
        <w:rPr>
          <w:szCs w:val="22"/>
        </w:rPr>
      </w:pPr>
      <w:r>
        <w:rPr>
          <w:szCs w:val="22"/>
        </w:rPr>
        <w:t xml:space="preserve">The maximum excess allowance is the </w:t>
      </w:r>
      <w:r>
        <w:rPr>
          <w:i/>
          <w:szCs w:val="22"/>
        </w:rPr>
        <w:t>lesser</w:t>
      </w:r>
      <w:r>
        <w:rPr>
          <w:szCs w:val="22"/>
        </w:rPr>
        <w:t xml:space="preserve"> of 1 or 2 below, where:</w:t>
      </w:r>
    </w:p>
    <w:p w14:paraId="0DBA8F6E" w14:textId="77777777" w:rsidR="00FB6AF7" w:rsidRDefault="00FB6AF7" w:rsidP="007A5E54">
      <w:pPr>
        <w:numPr>
          <w:ilvl w:val="0"/>
          <w:numId w:val="44"/>
        </w:numPr>
        <w:contextualSpacing/>
        <w:rPr>
          <w:szCs w:val="22"/>
        </w:rPr>
      </w:pPr>
      <w:r>
        <w:rPr>
          <w:szCs w:val="22"/>
        </w:rPr>
        <w:t>is the base contribution percentage</w:t>
      </w:r>
      <w:r w:rsidR="00AB1FBB">
        <w:rPr>
          <w:szCs w:val="22"/>
        </w:rPr>
        <w:t xml:space="preserve">, </w:t>
      </w:r>
      <w:r>
        <w:rPr>
          <w:szCs w:val="22"/>
        </w:rPr>
        <w:t>and</w:t>
      </w:r>
    </w:p>
    <w:p w14:paraId="491D3265" w14:textId="77777777" w:rsidR="00FB6AF7" w:rsidRDefault="00FB6AF7" w:rsidP="007A5E54">
      <w:pPr>
        <w:numPr>
          <w:ilvl w:val="0"/>
          <w:numId w:val="44"/>
        </w:numPr>
        <w:contextualSpacing/>
        <w:rPr>
          <w:szCs w:val="22"/>
        </w:rPr>
      </w:pPr>
      <w:r>
        <w:rPr>
          <w:szCs w:val="22"/>
        </w:rPr>
        <w:t xml:space="preserve">is the </w:t>
      </w:r>
      <w:r>
        <w:rPr>
          <w:i/>
          <w:szCs w:val="22"/>
        </w:rPr>
        <w:t>greater</w:t>
      </w:r>
      <w:r>
        <w:rPr>
          <w:szCs w:val="22"/>
        </w:rPr>
        <w:t xml:space="preserve"> of</w:t>
      </w:r>
    </w:p>
    <w:p w14:paraId="002338D1" w14:textId="77777777" w:rsidR="00FB6AF7" w:rsidRDefault="00FB6AF7" w:rsidP="007A5E54">
      <w:pPr>
        <w:numPr>
          <w:ilvl w:val="1"/>
          <w:numId w:val="44"/>
        </w:numPr>
        <w:contextualSpacing/>
        <w:rPr>
          <w:szCs w:val="22"/>
        </w:rPr>
      </w:pPr>
      <w:r>
        <w:rPr>
          <w:szCs w:val="22"/>
        </w:rPr>
        <w:t>5.7 percentage points</w:t>
      </w:r>
      <w:r w:rsidR="00E74135">
        <w:rPr>
          <w:szCs w:val="22"/>
        </w:rPr>
        <w:t>,</w:t>
      </w:r>
      <w:r>
        <w:rPr>
          <w:szCs w:val="22"/>
        </w:rPr>
        <w:t xml:space="preserve"> or</w:t>
      </w:r>
    </w:p>
    <w:p w14:paraId="62476185" w14:textId="77777777" w:rsidR="00FB6AF7" w:rsidRDefault="00FB6AF7" w:rsidP="007A5E54">
      <w:pPr>
        <w:numPr>
          <w:ilvl w:val="1"/>
          <w:numId w:val="44"/>
        </w:numPr>
        <w:rPr>
          <w:szCs w:val="22"/>
        </w:rPr>
      </w:pPr>
      <w:r>
        <w:rPr>
          <w:szCs w:val="22"/>
        </w:rPr>
        <w:t xml:space="preserve">the percentage equal to the portion of the </w:t>
      </w:r>
      <w:r w:rsidR="00E74135">
        <w:rPr>
          <w:szCs w:val="22"/>
        </w:rPr>
        <w:t xml:space="preserve">OASDI </w:t>
      </w:r>
      <w:r>
        <w:rPr>
          <w:szCs w:val="22"/>
        </w:rPr>
        <w:t>Social Security tax in effect for the year attributable to old age insurance</w:t>
      </w:r>
      <w:r w:rsidR="00E74135">
        <w:rPr>
          <w:szCs w:val="22"/>
        </w:rPr>
        <w:t>.</w:t>
      </w:r>
    </w:p>
    <w:p w14:paraId="677522FA" w14:textId="77777777" w:rsidR="00957F1D" w:rsidRDefault="00FB6AF7" w:rsidP="00825E0B">
      <w:pPr>
        <w:rPr>
          <w:szCs w:val="22"/>
        </w:rPr>
      </w:pPr>
      <w:r>
        <w:rPr>
          <w:szCs w:val="22"/>
        </w:rPr>
        <w:t xml:space="preserve">Integration, or permitted disparity, tends to be somewhat complicated when </w:t>
      </w:r>
      <w:r w:rsidR="0081742E">
        <w:rPr>
          <w:szCs w:val="22"/>
        </w:rPr>
        <w:t xml:space="preserve">the concept is </w:t>
      </w:r>
      <w:r>
        <w:rPr>
          <w:szCs w:val="22"/>
        </w:rPr>
        <w:t>first approached.</w:t>
      </w:r>
      <w:r w:rsidR="00297ACB">
        <w:rPr>
          <w:szCs w:val="22"/>
        </w:rPr>
        <w:t xml:space="preserve"> </w:t>
      </w:r>
      <w:r>
        <w:rPr>
          <w:szCs w:val="22"/>
        </w:rPr>
        <w:t xml:space="preserve">However, </w:t>
      </w:r>
      <w:r w:rsidR="0081742E">
        <w:rPr>
          <w:szCs w:val="22"/>
        </w:rPr>
        <w:t>once explained, it is relatively easy to understand.</w:t>
      </w:r>
      <w:r w:rsidR="00297ACB">
        <w:rPr>
          <w:szCs w:val="22"/>
        </w:rPr>
        <w:t xml:space="preserve"> </w:t>
      </w:r>
      <w:r w:rsidR="0081742E">
        <w:rPr>
          <w:szCs w:val="22"/>
        </w:rPr>
        <w:t>To illustrate, let’s assume that</w:t>
      </w:r>
      <w:r w:rsidR="00855D20">
        <w:rPr>
          <w:szCs w:val="22"/>
        </w:rPr>
        <w:t>,</w:t>
      </w:r>
      <w:r w:rsidR="0081742E">
        <w:rPr>
          <w:szCs w:val="22"/>
        </w:rPr>
        <w:t xml:space="preserve"> in a hypothetical SEP, the employer sets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sidR="0081742E">
        <w:rPr>
          <w:szCs w:val="22"/>
        </w:rPr>
        <w:t xml:space="preserve"> level at $20,000 of compensation.</w:t>
      </w:r>
      <w:r w:rsidR="00297ACB">
        <w:rPr>
          <w:szCs w:val="22"/>
        </w:rPr>
        <w:t xml:space="preserve"> </w:t>
      </w:r>
      <w:r w:rsidR="00957F1D">
        <w:rPr>
          <w:szCs w:val="22"/>
        </w:rPr>
        <w:t>The plan provides for contributions to be allocated as follows:</w:t>
      </w:r>
    </w:p>
    <w:p w14:paraId="13CBBC1F" w14:textId="77777777" w:rsidR="00957F1D" w:rsidRPr="00CD4472" w:rsidRDefault="00957F1D" w:rsidP="007A5E54">
      <w:pPr>
        <w:numPr>
          <w:ilvl w:val="0"/>
          <w:numId w:val="45"/>
        </w:numPr>
        <w:contextualSpacing/>
      </w:pPr>
      <w:r w:rsidRPr="00CD4472">
        <w:t>5% of compensation up to the integration</w:t>
      </w:r>
      <w:r w:rsidR="00A95039">
        <w:fldChar w:fldCharType="begin"/>
      </w:r>
      <w:r w:rsidR="00500F1D">
        <w:instrText xml:space="preserve"> XE "</w:instrText>
      </w:r>
      <w:r w:rsidR="00500F1D" w:rsidRPr="00CD56BD">
        <w:rPr>
          <w:szCs w:val="22"/>
        </w:rPr>
        <w:instrText>SEP integration</w:instrText>
      </w:r>
      <w:r w:rsidR="00500F1D">
        <w:instrText xml:space="preserve">" </w:instrText>
      </w:r>
      <w:r w:rsidR="00A95039">
        <w:fldChar w:fldCharType="end"/>
      </w:r>
      <w:r w:rsidRPr="00CD4472">
        <w:t xml:space="preserve"> level</w:t>
      </w:r>
      <w:r w:rsidR="00AB1FBB" w:rsidRPr="00CD4472">
        <w:t xml:space="preserve">, </w:t>
      </w:r>
      <w:r w:rsidRPr="00CD4472">
        <w:t>and</w:t>
      </w:r>
    </w:p>
    <w:p w14:paraId="09FCA8F0" w14:textId="77777777" w:rsidR="00957F1D" w:rsidRPr="00CD4472" w:rsidRDefault="00957F1D" w:rsidP="007A5E54">
      <w:pPr>
        <w:numPr>
          <w:ilvl w:val="0"/>
          <w:numId w:val="45"/>
        </w:numPr>
      </w:pPr>
      <w:r w:rsidRPr="00CD4472">
        <w:t>10.7% of compensation above the integration</w:t>
      </w:r>
      <w:r w:rsidR="00A95039">
        <w:fldChar w:fldCharType="begin"/>
      </w:r>
      <w:r w:rsidR="00500F1D">
        <w:instrText xml:space="preserve"> XE "</w:instrText>
      </w:r>
      <w:r w:rsidR="00500F1D" w:rsidRPr="00CD56BD">
        <w:rPr>
          <w:szCs w:val="22"/>
        </w:rPr>
        <w:instrText>SEP integration</w:instrText>
      </w:r>
      <w:r w:rsidR="00500F1D">
        <w:instrText xml:space="preserve">" </w:instrText>
      </w:r>
      <w:r w:rsidR="00A95039">
        <w:fldChar w:fldCharType="end"/>
      </w:r>
      <w:r w:rsidRPr="00CD4472">
        <w:t xml:space="preserve"> level</w:t>
      </w:r>
    </w:p>
    <w:p w14:paraId="3CE9B117" w14:textId="77777777" w:rsidR="00957F1D" w:rsidRDefault="00957F1D" w:rsidP="00825E0B">
      <w:pPr>
        <w:rPr>
          <w:szCs w:val="22"/>
        </w:rPr>
      </w:pPr>
      <w:r>
        <w:rPr>
          <w:szCs w:val="22"/>
        </w:rPr>
        <w:t>In this case, the difference between the allocation above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level (10.7%) and the allocation at or below the integration</w:t>
      </w:r>
      <w:r w:rsidR="00A95039">
        <w:rPr>
          <w:szCs w:val="22"/>
        </w:rPr>
        <w:fldChar w:fldCharType="begin"/>
      </w:r>
      <w:r w:rsidR="00500F1D">
        <w:instrText xml:space="preserve"> XE "</w:instrText>
      </w:r>
      <w:r w:rsidR="00500F1D" w:rsidRPr="00CD56BD">
        <w:rPr>
          <w:szCs w:val="22"/>
        </w:rPr>
        <w:instrText>SEP integration</w:instrText>
      </w:r>
      <w:r w:rsidR="00500F1D">
        <w:instrText xml:space="preserve">" </w:instrText>
      </w:r>
      <w:r w:rsidR="00A95039">
        <w:rPr>
          <w:szCs w:val="22"/>
        </w:rPr>
        <w:fldChar w:fldCharType="end"/>
      </w:r>
      <w:r>
        <w:rPr>
          <w:szCs w:val="22"/>
        </w:rPr>
        <w:t xml:space="preserve"> level (5%) is 5.7%.</w:t>
      </w:r>
      <w:r w:rsidR="00297ACB">
        <w:rPr>
          <w:szCs w:val="22"/>
        </w:rPr>
        <w:t xml:space="preserve"> </w:t>
      </w:r>
      <w:r>
        <w:rPr>
          <w:szCs w:val="22"/>
        </w:rPr>
        <w:t>That is the excess allowance.</w:t>
      </w:r>
    </w:p>
    <w:p w14:paraId="6C3B9825" w14:textId="77777777" w:rsidR="00130A8A" w:rsidRDefault="004057CC" w:rsidP="00BA271D">
      <w:pPr>
        <w:spacing w:before="120"/>
        <w:rPr>
          <w:szCs w:val="22"/>
        </w:rPr>
      </w:pPr>
      <w:r>
        <w:rPr>
          <w:szCs w:val="22"/>
        </w:rPr>
        <w:t>We can apply this hypothetical permitted disparity to two employees to better understand its effect.</w:t>
      </w:r>
      <w:r w:rsidR="00297ACB">
        <w:rPr>
          <w:szCs w:val="22"/>
        </w:rPr>
        <w:t xml:space="preserve"> </w:t>
      </w:r>
      <w:r>
        <w:rPr>
          <w:szCs w:val="22"/>
        </w:rPr>
        <w:t>Suppose that two covered employees are Jim Wilson and Eve Parker.</w:t>
      </w:r>
      <w:r w:rsidR="00297ACB">
        <w:rPr>
          <w:szCs w:val="22"/>
        </w:rPr>
        <w:t xml:space="preserve"> </w:t>
      </w:r>
      <w:r>
        <w:rPr>
          <w:szCs w:val="22"/>
        </w:rPr>
        <w:t>Jim works in the mailroom and earns $27,000 a year; Eve is the assistant director of marketing and earns $50,000 a year.</w:t>
      </w:r>
      <w:r w:rsidR="00297ACB">
        <w:rPr>
          <w:szCs w:val="22"/>
        </w:rPr>
        <w:t xml:space="preserve"> </w:t>
      </w:r>
      <w:r>
        <w:rPr>
          <w:szCs w:val="22"/>
        </w:rPr>
        <w:t xml:space="preserve">The </w:t>
      </w:r>
      <w:r w:rsidR="00330BC0">
        <w:rPr>
          <w:szCs w:val="22"/>
        </w:rPr>
        <w:t xml:space="preserve">contribution </w:t>
      </w:r>
      <w:r>
        <w:rPr>
          <w:szCs w:val="22"/>
        </w:rPr>
        <w:t>allocations under this plan would be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88"/>
        <w:gridCol w:w="1596"/>
        <w:gridCol w:w="1568"/>
      </w:tblGrid>
      <w:tr w:rsidR="009E008D" w:rsidRPr="006D389B" w14:paraId="5DF7FBD6" w14:textId="77777777" w:rsidTr="006D389B">
        <w:trPr>
          <w:jc w:val="center"/>
        </w:trPr>
        <w:tc>
          <w:tcPr>
            <w:tcW w:w="4788"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4548A6A5" w14:textId="77777777" w:rsidR="00130A8A" w:rsidRPr="001332B9" w:rsidRDefault="00130A8A" w:rsidP="00AB1FBB">
            <w:pPr>
              <w:pStyle w:val="wTableNormal"/>
            </w:pPr>
          </w:p>
        </w:tc>
        <w:tc>
          <w:tcPr>
            <w:tcW w:w="1596"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0F2DF4AA" w14:textId="77777777" w:rsidR="00130A8A" w:rsidRPr="001332B9" w:rsidRDefault="00130A8A" w:rsidP="00AB1FBB">
            <w:pPr>
              <w:pStyle w:val="WTableHeaderChar"/>
            </w:pPr>
            <w:r w:rsidRPr="001332B9">
              <w:t>Jim Wilson</w:t>
            </w:r>
          </w:p>
          <w:p w14:paraId="710FE6BC" w14:textId="77777777" w:rsidR="00130A8A" w:rsidRPr="001332B9" w:rsidRDefault="00130A8A" w:rsidP="00AB1FBB">
            <w:pPr>
              <w:pStyle w:val="WTableHeaderChar"/>
            </w:pPr>
            <w:r w:rsidRPr="001332B9">
              <w:t>$27,000/yr.</w:t>
            </w:r>
          </w:p>
        </w:tc>
        <w:tc>
          <w:tcPr>
            <w:tcW w:w="1568"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0A13B75B" w14:textId="77777777" w:rsidR="00130A8A" w:rsidRPr="001332B9" w:rsidRDefault="00130A8A" w:rsidP="00AB1FBB">
            <w:pPr>
              <w:pStyle w:val="WTableHeaderChar"/>
            </w:pPr>
            <w:r w:rsidRPr="001332B9">
              <w:t>Eve Parker</w:t>
            </w:r>
          </w:p>
          <w:p w14:paraId="316DD7AE" w14:textId="77777777" w:rsidR="00130A8A" w:rsidRPr="001332B9" w:rsidRDefault="00130A8A" w:rsidP="00AB1FBB">
            <w:pPr>
              <w:pStyle w:val="WTableHeaderChar"/>
            </w:pPr>
            <w:r w:rsidRPr="001332B9">
              <w:t>$50,000/yr.</w:t>
            </w:r>
          </w:p>
        </w:tc>
      </w:tr>
      <w:tr w:rsidR="009E008D" w:rsidRPr="006D389B" w14:paraId="2AC6FB2B" w14:textId="77777777" w:rsidTr="006D389B">
        <w:trPr>
          <w:jc w:val="center"/>
        </w:trPr>
        <w:tc>
          <w:tcPr>
            <w:tcW w:w="4788" w:type="dxa"/>
            <w:tcBorders>
              <w:bottom w:val="single" w:sz="6" w:space="0" w:color="auto"/>
              <w:right w:val="single" w:sz="6" w:space="0" w:color="auto"/>
            </w:tcBorders>
          </w:tcPr>
          <w:p w14:paraId="0D85217A" w14:textId="77777777" w:rsidR="00130A8A" w:rsidRPr="009E008D" w:rsidRDefault="009E008D" w:rsidP="00AB1FBB">
            <w:pPr>
              <w:pStyle w:val="wTableNormal"/>
            </w:pPr>
            <w:r>
              <w:t>Base contribution percentage</w:t>
            </w:r>
            <w:r>
              <w:br/>
            </w:r>
            <w:r w:rsidR="00130A8A" w:rsidRPr="009E008D">
              <w:t>(5% of compensation up to 20,000)</w:t>
            </w:r>
          </w:p>
        </w:tc>
        <w:tc>
          <w:tcPr>
            <w:tcW w:w="1596" w:type="dxa"/>
            <w:tcBorders>
              <w:left w:val="single" w:sz="6" w:space="0" w:color="auto"/>
              <w:bottom w:val="single" w:sz="6" w:space="0" w:color="auto"/>
              <w:right w:val="single" w:sz="6" w:space="0" w:color="auto"/>
            </w:tcBorders>
          </w:tcPr>
          <w:p w14:paraId="47620BE7" w14:textId="77777777" w:rsidR="00130A8A" w:rsidRPr="009E008D" w:rsidRDefault="001332B9" w:rsidP="006D389B">
            <w:pPr>
              <w:pStyle w:val="wTableNormal"/>
              <w:jc w:val="center"/>
            </w:pPr>
            <w:r w:rsidRPr="009E008D">
              <w:t>$</w:t>
            </w:r>
            <w:r w:rsidR="00130A8A" w:rsidRPr="009E008D">
              <w:t>1,000</w:t>
            </w:r>
          </w:p>
        </w:tc>
        <w:tc>
          <w:tcPr>
            <w:tcW w:w="1568" w:type="dxa"/>
            <w:tcBorders>
              <w:left w:val="single" w:sz="6" w:space="0" w:color="auto"/>
              <w:bottom w:val="single" w:sz="6" w:space="0" w:color="auto"/>
            </w:tcBorders>
          </w:tcPr>
          <w:p w14:paraId="176F7ACE" w14:textId="77777777" w:rsidR="00130A8A" w:rsidRPr="009E008D" w:rsidRDefault="00130A8A" w:rsidP="006D389B">
            <w:pPr>
              <w:pStyle w:val="wTableNormal"/>
              <w:jc w:val="center"/>
            </w:pPr>
            <w:r w:rsidRPr="009E008D">
              <w:t>$1,000</w:t>
            </w:r>
          </w:p>
        </w:tc>
      </w:tr>
      <w:tr w:rsidR="00130A8A" w:rsidRPr="006D389B" w14:paraId="2A317B8E" w14:textId="77777777" w:rsidTr="006D389B">
        <w:trPr>
          <w:jc w:val="center"/>
        </w:trPr>
        <w:tc>
          <w:tcPr>
            <w:tcW w:w="4788" w:type="dxa"/>
            <w:tcBorders>
              <w:top w:val="single" w:sz="6" w:space="0" w:color="auto"/>
              <w:bottom w:val="single" w:sz="6" w:space="0" w:color="auto"/>
              <w:right w:val="single" w:sz="6" w:space="0" w:color="auto"/>
            </w:tcBorders>
          </w:tcPr>
          <w:p w14:paraId="2E9E5B4B" w14:textId="77777777" w:rsidR="00130A8A" w:rsidRPr="009E008D" w:rsidRDefault="00130A8A" w:rsidP="00AB1FBB">
            <w:pPr>
              <w:pStyle w:val="wTableNormal"/>
            </w:pPr>
            <w:r w:rsidRPr="009E008D">
              <w:t xml:space="preserve">Excess contribution percentage </w:t>
            </w:r>
            <w:r w:rsidR="009E008D">
              <w:br/>
            </w:r>
            <w:r w:rsidRPr="009E008D">
              <w:t>(10.7% of compensation in excess of $20,000)</w:t>
            </w:r>
          </w:p>
        </w:tc>
        <w:tc>
          <w:tcPr>
            <w:tcW w:w="1596" w:type="dxa"/>
            <w:tcBorders>
              <w:top w:val="single" w:sz="6" w:space="0" w:color="auto"/>
              <w:left w:val="single" w:sz="6" w:space="0" w:color="auto"/>
              <w:bottom w:val="single" w:sz="6" w:space="0" w:color="auto"/>
              <w:right w:val="single" w:sz="6" w:space="0" w:color="auto"/>
            </w:tcBorders>
          </w:tcPr>
          <w:p w14:paraId="0C210858" w14:textId="77777777" w:rsidR="00130A8A" w:rsidRPr="00431D77" w:rsidRDefault="001332B9" w:rsidP="006D389B">
            <w:pPr>
              <w:pStyle w:val="wTableNormal"/>
              <w:jc w:val="center"/>
            </w:pPr>
            <w:r w:rsidRPr="00431D77">
              <w:t xml:space="preserve">+ </w:t>
            </w:r>
            <w:r w:rsidR="00130A8A" w:rsidRPr="00431D77">
              <w:t>749</w:t>
            </w:r>
          </w:p>
        </w:tc>
        <w:tc>
          <w:tcPr>
            <w:tcW w:w="1568" w:type="dxa"/>
            <w:tcBorders>
              <w:top w:val="single" w:sz="6" w:space="0" w:color="auto"/>
              <w:left w:val="single" w:sz="6" w:space="0" w:color="auto"/>
              <w:bottom w:val="single" w:sz="6" w:space="0" w:color="auto"/>
            </w:tcBorders>
          </w:tcPr>
          <w:p w14:paraId="6A49BF01" w14:textId="77777777" w:rsidR="00130A8A" w:rsidRPr="00431D77" w:rsidRDefault="001332B9" w:rsidP="006D389B">
            <w:pPr>
              <w:pStyle w:val="wTableNormal"/>
              <w:jc w:val="center"/>
            </w:pPr>
            <w:r w:rsidRPr="00431D77">
              <w:t xml:space="preserve">+ </w:t>
            </w:r>
            <w:r w:rsidR="00130A8A" w:rsidRPr="00431D77">
              <w:t>3,210</w:t>
            </w:r>
          </w:p>
        </w:tc>
      </w:tr>
      <w:tr w:rsidR="00130A8A" w:rsidRPr="006D389B" w14:paraId="3C41A326" w14:textId="77777777" w:rsidTr="006D389B">
        <w:trPr>
          <w:jc w:val="center"/>
        </w:trPr>
        <w:tc>
          <w:tcPr>
            <w:tcW w:w="4788" w:type="dxa"/>
            <w:tcBorders>
              <w:top w:val="single" w:sz="6" w:space="0" w:color="auto"/>
              <w:bottom w:val="single" w:sz="6" w:space="0" w:color="auto"/>
              <w:right w:val="single" w:sz="6" w:space="0" w:color="auto"/>
            </w:tcBorders>
          </w:tcPr>
          <w:p w14:paraId="475DC988" w14:textId="77777777" w:rsidR="00130A8A" w:rsidRPr="00431D77" w:rsidRDefault="00130A8A" w:rsidP="00AB1FBB">
            <w:pPr>
              <w:pStyle w:val="wTableNormal"/>
            </w:pPr>
            <w:r w:rsidRPr="00431D77">
              <w:t>Total allocation</w:t>
            </w:r>
          </w:p>
        </w:tc>
        <w:tc>
          <w:tcPr>
            <w:tcW w:w="1596" w:type="dxa"/>
            <w:tcBorders>
              <w:top w:val="single" w:sz="6" w:space="0" w:color="auto"/>
              <w:left w:val="single" w:sz="6" w:space="0" w:color="auto"/>
              <w:bottom w:val="single" w:sz="6" w:space="0" w:color="auto"/>
              <w:right w:val="single" w:sz="6" w:space="0" w:color="auto"/>
            </w:tcBorders>
          </w:tcPr>
          <w:p w14:paraId="7409432A" w14:textId="77777777" w:rsidR="00130A8A" w:rsidRPr="006D389B" w:rsidRDefault="00130A8A" w:rsidP="006D389B">
            <w:pPr>
              <w:pStyle w:val="wTableNormal"/>
              <w:jc w:val="center"/>
              <w:rPr>
                <w:b/>
              </w:rPr>
            </w:pPr>
            <w:r w:rsidRPr="006D389B">
              <w:rPr>
                <w:b/>
              </w:rPr>
              <w:t>$1,749</w:t>
            </w:r>
          </w:p>
        </w:tc>
        <w:tc>
          <w:tcPr>
            <w:tcW w:w="1568" w:type="dxa"/>
            <w:tcBorders>
              <w:top w:val="single" w:sz="6" w:space="0" w:color="auto"/>
              <w:left w:val="single" w:sz="6" w:space="0" w:color="auto"/>
              <w:bottom w:val="single" w:sz="6" w:space="0" w:color="auto"/>
            </w:tcBorders>
          </w:tcPr>
          <w:p w14:paraId="22629D84" w14:textId="77777777" w:rsidR="00130A8A" w:rsidRPr="006D389B" w:rsidRDefault="00130A8A" w:rsidP="006D389B">
            <w:pPr>
              <w:pStyle w:val="wTableNormal"/>
              <w:jc w:val="center"/>
              <w:rPr>
                <w:b/>
              </w:rPr>
            </w:pPr>
            <w:r w:rsidRPr="006D389B">
              <w:rPr>
                <w:b/>
              </w:rPr>
              <w:t>$4,210</w:t>
            </w:r>
          </w:p>
        </w:tc>
      </w:tr>
      <w:tr w:rsidR="009E008D" w:rsidRPr="006D389B" w14:paraId="60729BCA" w14:textId="77777777" w:rsidTr="006D389B">
        <w:trPr>
          <w:jc w:val="center"/>
        </w:trPr>
        <w:tc>
          <w:tcPr>
            <w:tcW w:w="4788" w:type="dxa"/>
            <w:tcBorders>
              <w:top w:val="single" w:sz="6" w:space="0" w:color="auto"/>
              <w:right w:val="single" w:sz="6" w:space="0" w:color="auto"/>
            </w:tcBorders>
          </w:tcPr>
          <w:p w14:paraId="3D1CCC9C" w14:textId="77777777" w:rsidR="00531D1E" w:rsidRPr="009E008D" w:rsidRDefault="00531D1E" w:rsidP="00AB1FBB">
            <w:pPr>
              <w:pStyle w:val="wTableNormal"/>
            </w:pPr>
            <w:r w:rsidRPr="009E008D">
              <w:t>Percentage of compensation</w:t>
            </w:r>
          </w:p>
        </w:tc>
        <w:tc>
          <w:tcPr>
            <w:tcW w:w="1596" w:type="dxa"/>
            <w:tcBorders>
              <w:top w:val="single" w:sz="6" w:space="0" w:color="auto"/>
              <w:left w:val="single" w:sz="6" w:space="0" w:color="auto"/>
              <w:right w:val="single" w:sz="6" w:space="0" w:color="auto"/>
            </w:tcBorders>
          </w:tcPr>
          <w:p w14:paraId="14E2546A" w14:textId="77777777" w:rsidR="00531D1E" w:rsidRPr="009E008D" w:rsidRDefault="00531D1E" w:rsidP="006D389B">
            <w:pPr>
              <w:pStyle w:val="wTableNormal"/>
              <w:jc w:val="center"/>
            </w:pPr>
            <w:r w:rsidRPr="009E008D">
              <w:t>6.5%</w:t>
            </w:r>
          </w:p>
        </w:tc>
        <w:tc>
          <w:tcPr>
            <w:tcW w:w="1568" w:type="dxa"/>
            <w:tcBorders>
              <w:top w:val="single" w:sz="6" w:space="0" w:color="auto"/>
              <w:left w:val="single" w:sz="6" w:space="0" w:color="auto"/>
            </w:tcBorders>
          </w:tcPr>
          <w:p w14:paraId="49CD34E2" w14:textId="77777777" w:rsidR="00531D1E" w:rsidRPr="009E008D" w:rsidRDefault="00531D1E" w:rsidP="006D389B">
            <w:pPr>
              <w:pStyle w:val="wTableNormal"/>
              <w:jc w:val="center"/>
            </w:pPr>
            <w:r w:rsidRPr="009E008D">
              <w:t>8.4%</w:t>
            </w:r>
          </w:p>
        </w:tc>
      </w:tr>
    </w:tbl>
    <w:p w14:paraId="27CF7E7C" w14:textId="77777777" w:rsidR="00BA271D" w:rsidRDefault="00BA271D" w:rsidP="00BA271D">
      <w:pPr>
        <w:pStyle w:val="Heading3"/>
      </w:pPr>
      <w:bookmarkStart w:id="155" w:name="_Toc404357225"/>
      <w:r>
        <w:t>Employee Plan Contributions Permitted</w:t>
      </w:r>
      <w:bookmarkEnd w:id="155"/>
    </w:p>
    <w:p w14:paraId="5E341650" w14:textId="77777777" w:rsidR="00AB1FBB" w:rsidRDefault="00814B52" w:rsidP="00BA271D">
      <w:pPr>
        <w:spacing w:before="120"/>
        <w:rPr>
          <w:szCs w:val="22"/>
        </w:rPr>
      </w:pPr>
      <w:r>
        <w:rPr>
          <w:szCs w:val="22"/>
        </w:rPr>
        <w:t xml:space="preserve">In addition to </w:t>
      </w:r>
      <w:r>
        <w:rPr>
          <w:i/>
          <w:szCs w:val="22"/>
        </w:rPr>
        <w:t>employer</w:t>
      </w:r>
      <w:r>
        <w:rPr>
          <w:szCs w:val="22"/>
        </w:rPr>
        <w:t xml:space="preserve"> contributions to the SEP IRA, an employee may also make deductible or non-deductible contributions</w:t>
      </w:r>
      <w:r w:rsidR="00A95039">
        <w:rPr>
          <w:szCs w:val="22"/>
        </w:rPr>
        <w:fldChar w:fldCharType="begin"/>
      </w:r>
      <w:r w:rsidR="00500F1D">
        <w:instrText xml:space="preserve"> XE "</w:instrText>
      </w:r>
      <w:r w:rsidR="00500F1D" w:rsidRPr="00CD56BD">
        <w:rPr>
          <w:szCs w:val="22"/>
        </w:rPr>
        <w:instrText>SEP employee deductible or non-deductible contributions</w:instrText>
      </w:r>
      <w:r w:rsidR="00500F1D">
        <w:instrText xml:space="preserve">" </w:instrText>
      </w:r>
      <w:r w:rsidR="00A95039">
        <w:rPr>
          <w:szCs w:val="22"/>
        </w:rPr>
        <w:fldChar w:fldCharType="end"/>
      </w:r>
      <w:r>
        <w:rPr>
          <w:szCs w:val="22"/>
        </w:rPr>
        <w:t xml:space="preserve"> similar to those made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w:t>
      </w:r>
      <w:r w:rsidR="00297ACB">
        <w:rPr>
          <w:szCs w:val="22"/>
        </w:rPr>
        <w:t xml:space="preserve"> </w:t>
      </w:r>
      <w:r>
        <w:rPr>
          <w:szCs w:val="22"/>
        </w:rPr>
        <w:t xml:space="preserve">The amount of annual contribution that the employee may make is limited only by the maximum amount permitted </w:t>
      </w:r>
      <w:r w:rsidR="00C53981">
        <w:rPr>
          <w:szCs w:val="22"/>
        </w:rPr>
        <w:t xml:space="preserve">in that year </w:t>
      </w:r>
      <w:r>
        <w:rPr>
          <w:szCs w:val="22"/>
        </w:rPr>
        <w:t>and whether or not he or she is eligible to make catch-up contributions</w:t>
      </w:r>
      <w:r w:rsidR="00A95039">
        <w:rPr>
          <w:szCs w:val="22"/>
        </w:rPr>
        <w:fldChar w:fldCharType="begin"/>
      </w:r>
      <w:r w:rsidR="00500F1D">
        <w:instrText xml:space="preserve"> XE "</w:instrText>
      </w:r>
      <w:r w:rsidR="00500F1D" w:rsidRPr="00CD56BD">
        <w:rPr>
          <w:szCs w:val="22"/>
        </w:rPr>
        <w:instrText>catch-up contributions</w:instrText>
      </w:r>
      <w:r w:rsidR="00500F1D">
        <w:instrText xml:space="preserve">" </w:instrText>
      </w:r>
      <w:r w:rsidR="00A95039">
        <w:rPr>
          <w:szCs w:val="22"/>
        </w:rPr>
        <w:fldChar w:fldCharType="end"/>
      </w:r>
      <w:r>
        <w:rPr>
          <w:szCs w:val="22"/>
        </w:rPr>
        <w:t>, as shown in the table below:</w:t>
      </w:r>
    </w:p>
    <w:p w14:paraId="0F48EEE8" w14:textId="77777777" w:rsidR="007B0176" w:rsidRDefault="007B0176">
      <w:r>
        <w:rPr>
          <w:b/>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03"/>
        <w:gridCol w:w="1556"/>
        <w:gridCol w:w="2310"/>
        <w:gridCol w:w="1726"/>
      </w:tblGrid>
      <w:tr w:rsidR="004D12C7" w:rsidRPr="006D389B" w14:paraId="7EC44343" w14:textId="77777777" w:rsidTr="006D389B">
        <w:trPr>
          <w:jc w:val="center"/>
        </w:trPr>
        <w:tc>
          <w:tcPr>
            <w:tcW w:w="1503"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7C01E6B6" w14:textId="77777777" w:rsidR="004D12C7" w:rsidRPr="009E008D" w:rsidRDefault="004D12C7" w:rsidP="00AB1FBB">
            <w:pPr>
              <w:pStyle w:val="WTableHeaderChar"/>
            </w:pPr>
            <w:r w:rsidRPr="009E008D">
              <w:lastRenderedPageBreak/>
              <w:t>Tax</w:t>
            </w:r>
            <w:r w:rsidR="00AB1FBB">
              <w:br/>
            </w:r>
            <w:r w:rsidRPr="009E008D">
              <w:t>Year</w:t>
            </w:r>
          </w:p>
        </w:tc>
        <w:tc>
          <w:tcPr>
            <w:tcW w:w="1556"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6FFCC94D" w14:textId="77777777" w:rsidR="004D12C7" w:rsidRPr="009E008D" w:rsidRDefault="004D12C7" w:rsidP="00AB1FBB">
            <w:pPr>
              <w:pStyle w:val="WTableHeaderChar"/>
            </w:pPr>
            <w:r w:rsidRPr="009E008D">
              <w:t>Maximum</w:t>
            </w:r>
            <w:r w:rsidR="00AB1FBB">
              <w:br/>
            </w:r>
            <w:r w:rsidRPr="009E008D">
              <w:t>Contribution</w:t>
            </w:r>
          </w:p>
        </w:tc>
        <w:tc>
          <w:tcPr>
            <w:tcW w:w="2310"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4FC39279" w14:textId="77777777" w:rsidR="004D12C7" w:rsidRPr="009E008D" w:rsidRDefault="004D12C7" w:rsidP="00AB1FBB">
            <w:pPr>
              <w:pStyle w:val="WTableHeaderChar"/>
            </w:pPr>
            <w:r w:rsidRPr="009E008D">
              <w:t>Maximum Catch-</w:t>
            </w:r>
            <w:r w:rsidR="00074522">
              <w:t>U</w:t>
            </w:r>
            <w:r w:rsidRPr="009E008D">
              <w:t>p</w:t>
            </w:r>
            <w:r w:rsidR="00AB1FBB">
              <w:br/>
            </w:r>
            <w:r w:rsidRPr="009E008D">
              <w:t>Contribution*</w:t>
            </w:r>
          </w:p>
        </w:tc>
        <w:tc>
          <w:tcPr>
            <w:tcW w:w="1726"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1CD6FD68" w14:textId="77777777" w:rsidR="004D12C7" w:rsidRPr="009E008D" w:rsidRDefault="004D12C7" w:rsidP="00AB1FBB">
            <w:pPr>
              <w:pStyle w:val="WTableHeaderChar"/>
            </w:pPr>
            <w:r w:rsidRPr="009E008D">
              <w:t>Total Possible</w:t>
            </w:r>
            <w:r w:rsidR="00AB1FBB">
              <w:br/>
            </w:r>
            <w:r w:rsidRPr="00782865">
              <w:rPr>
                <w:rStyle w:val="StyleArial11ptBoldChar"/>
                <w:b/>
              </w:rPr>
              <w:t>Contribution</w:t>
            </w:r>
            <w:r w:rsidRPr="00A219FB">
              <w:t>‡</w:t>
            </w:r>
          </w:p>
        </w:tc>
      </w:tr>
      <w:tr w:rsidR="004D12C7" w:rsidRPr="006D389B" w14:paraId="6EBC9812" w14:textId="77777777" w:rsidTr="006D389B">
        <w:trPr>
          <w:jc w:val="center"/>
        </w:trPr>
        <w:tc>
          <w:tcPr>
            <w:tcW w:w="1503" w:type="dxa"/>
            <w:tcBorders>
              <w:top w:val="single" w:sz="6" w:space="0" w:color="auto"/>
              <w:bottom w:val="single" w:sz="6" w:space="0" w:color="auto"/>
              <w:right w:val="single" w:sz="6" w:space="0" w:color="auto"/>
            </w:tcBorders>
          </w:tcPr>
          <w:p w14:paraId="4A55624B" w14:textId="77777777" w:rsidR="004D12C7" w:rsidRPr="009E008D" w:rsidRDefault="004D12C7" w:rsidP="006D389B">
            <w:pPr>
              <w:pStyle w:val="wTableNormal"/>
              <w:jc w:val="center"/>
            </w:pPr>
            <w:r w:rsidRPr="009E008D">
              <w:t>2005</w:t>
            </w:r>
          </w:p>
        </w:tc>
        <w:tc>
          <w:tcPr>
            <w:tcW w:w="1556" w:type="dxa"/>
            <w:tcBorders>
              <w:top w:val="single" w:sz="6" w:space="0" w:color="auto"/>
              <w:left w:val="single" w:sz="6" w:space="0" w:color="auto"/>
              <w:bottom w:val="single" w:sz="6" w:space="0" w:color="auto"/>
              <w:right w:val="single" w:sz="6" w:space="0" w:color="auto"/>
            </w:tcBorders>
          </w:tcPr>
          <w:p w14:paraId="48A8A1F3" w14:textId="77777777" w:rsidR="004D12C7" w:rsidRPr="009E008D" w:rsidRDefault="001332B9" w:rsidP="006D389B">
            <w:pPr>
              <w:pStyle w:val="wTableNormal"/>
              <w:jc w:val="center"/>
            </w:pPr>
            <w:r w:rsidRPr="009E008D">
              <w:t>$</w:t>
            </w:r>
            <w:r w:rsidR="004D12C7" w:rsidRPr="009E008D">
              <w:t>4,000</w:t>
            </w:r>
          </w:p>
        </w:tc>
        <w:tc>
          <w:tcPr>
            <w:tcW w:w="2310" w:type="dxa"/>
            <w:tcBorders>
              <w:top w:val="single" w:sz="6" w:space="0" w:color="auto"/>
              <w:left w:val="single" w:sz="6" w:space="0" w:color="auto"/>
              <w:bottom w:val="single" w:sz="6" w:space="0" w:color="auto"/>
              <w:right w:val="single" w:sz="6" w:space="0" w:color="auto"/>
            </w:tcBorders>
          </w:tcPr>
          <w:p w14:paraId="0859C4CB" w14:textId="77777777" w:rsidR="004D12C7" w:rsidRPr="009E008D" w:rsidRDefault="001332B9" w:rsidP="006D389B">
            <w:pPr>
              <w:pStyle w:val="wTableNormal"/>
              <w:jc w:val="center"/>
            </w:pPr>
            <w:r w:rsidRPr="009E008D">
              <w:t>$</w:t>
            </w:r>
            <w:r w:rsidR="004D12C7" w:rsidRPr="009E008D">
              <w:t>500</w:t>
            </w:r>
          </w:p>
        </w:tc>
        <w:tc>
          <w:tcPr>
            <w:tcW w:w="1726" w:type="dxa"/>
            <w:tcBorders>
              <w:top w:val="single" w:sz="6" w:space="0" w:color="auto"/>
              <w:left w:val="single" w:sz="6" w:space="0" w:color="auto"/>
              <w:bottom w:val="single" w:sz="6" w:space="0" w:color="auto"/>
            </w:tcBorders>
          </w:tcPr>
          <w:p w14:paraId="76DF473B" w14:textId="77777777" w:rsidR="004D12C7" w:rsidRPr="009E008D" w:rsidRDefault="001332B9" w:rsidP="006D389B">
            <w:pPr>
              <w:pStyle w:val="wTableNormal"/>
              <w:jc w:val="center"/>
            </w:pPr>
            <w:r w:rsidRPr="009E008D">
              <w:t>$</w:t>
            </w:r>
            <w:r w:rsidR="004D12C7" w:rsidRPr="009E008D">
              <w:t>4,500</w:t>
            </w:r>
          </w:p>
        </w:tc>
      </w:tr>
      <w:tr w:rsidR="004D12C7" w:rsidRPr="006D389B" w14:paraId="07735F0B" w14:textId="77777777" w:rsidTr="006D389B">
        <w:trPr>
          <w:jc w:val="center"/>
        </w:trPr>
        <w:tc>
          <w:tcPr>
            <w:tcW w:w="1503" w:type="dxa"/>
            <w:tcBorders>
              <w:top w:val="single" w:sz="6" w:space="0" w:color="auto"/>
              <w:bottom w:val="single" w:sz="6" w:space="0" w:color="auto"/>
              <w:right w:val="single" w:sz="6" w:space="0" w:color="auto"/>
            </w:tcBorders>
          </w:tcPr>
          <w:p w14:paraId="5422CB45" w14:textId="77777777" w:rsidR="004D12C7" w:rsidRPr="009E008D" w:rsidRDefault="004D12C7" w:rsidP="006D389B">
            <w:pPr>
              <w:pStyle w:val="wTableNormal"/>
              <w:jc w:val="center"/>
            </w:pPr>
            <w:r w:rsidRPr="009E008D">
              <w:t>2006 – 2007</w:t>
            </w:r>
          </w:p>
        </w:tc>
        <w:tc>
          <w:tcPr>
            <w:tcW w:w="1556" w:type="dxa"/>
            <w:tcBorders>
              <w:top w:val="single" w:sz="6" w:space="0" w:color="auto"/>
              <w:left w:val="single" w:sz="6" w:space="0" w:color="auto"/>
              <w:bottom w:val="single" w:sz="6" w:space="0" w:color="auto"/>
              <w:right w:val="single" w:sz="6" w:space="0" w:color="auto"/>
            </w:tcBorders>
          </w:tcPr>
          <w:p w14:paraId="55DD0316" w14:textId="77777777" w:rsidR="004D12C7" w:rsidRPr="009E008D" w:rsidRDefault="001332B9" w:rsidP="006D389B">
            <w:pPr>
              <w:pStyle w:val="wTableNormal"/>
              <w:jc w:val="center"/>
            </w:pPr>
            <w:r w:rsidRPr="009E008D">
              <w:t>$</w:t>
            </w:r>
            <w:r w:rsidR="004D12C7" w:rsidRPr="009E008D">
              <w:t>4,000</w:t>
            </w:r>
          </w:p>
        </w:tc>
        <w:tc>
          <w:tcPr>
            <w:tcW w:w="2310" w:type="dxa"/>
            <w:tcBorders>
              <w:top w:val="single" w:sz="6" w:space="0" w:color="auto"/>
              <w:left w:val="single" w:sz="6" w:space="0" w:color="auto"/>
              <w:bottom w:val="single" w:sz="6" w:space="0" w:color="auto"/>
              <w:right w:val="single" w:sz="6" w:space="0" w:color="auto"/>
            </w:tcBorders>
          </w:tcPr>
          <w:p w14:paraId="1ACC47D9" w14:textId="77777777" w:rsidR="004D12C7" w:rsidRPr="009E008D" w:rsidRDefault="001332B9" w:rsidP="006D389B">
            <w:pPr>
              <w:pStyle w:val="wTableNormal"/>
              <w:jc w:val="center"/>
            </w:pPr>
            <w:r w:rsidRPr="009E008D">
              <w:t>$</w:t>
            </w:r>
            <w:r w:rsidR="004D12C7" w:rsidRPr="009E008D">
              <w:t>1,000</w:t>
            </w:r>
          </w:p>
        </w:tc>
        <w:tc>
          <w:tcPr>
            <w:tcW w:w="1726" w:type="dxa"/>
            <w:tcBorders>
              <w:top w:val="single" w:sz="6" w:space="0" w:color="auto"/>
              <w:left w:val="single" w:sz="6" w:space="0" w:color="auto"/>
              <w:bottom w:val="single" w:sz="6" w:space="0" w:color="auto"/>
            </w:tcBorders>
          </w:tcPr>
          <w:p w14:paraId="29ED160B" w14:textId="77777777" w:rsidR="004D12C7" w:rsidRPr="009E008D" w:rsidRDefault="001332B9" w:rsidP="006D389B">
            <w:pPr>
              <w:pStyle w:val="wTableNormal"/>
              <w:jc w:val="center"/>
            </w:pPr>
            <w:r w:rsidRPr="009E008D">
              <w:t>$</w:t>
            </w:r>
            <w:r w:rsidR="004D12C7" w:rsidRPr="009E008D">
              <w:t>5,000</w:t>
            </w:r>
          </w:p>
        </w:tc>
      </w:tr>
      <w:tr w:rsidR="00AB1FBB" w:rsidRPr="006D389B" w14:paraId="1186E53B" w14:textId="77777777" w:rsidTr="006D389B">
        <w:trPr>
          <w:trHeight w:val="285"/>
          <w:jc w:val="center"/>
        </w:trPr>
        <w:tc>
          <w:tcPr>
            <w:tcW w:w="1503" w:type="dxa"/>
            <w:tcBorders>
              <w:top w:val="single" w:sz="6" w:space="0" w:color="auto"/>
              <w:bottom w:val="single" w:sz="6" w:space="0" w:color="auto"/>
              <w:right w:val="single" w:sz="6" w:space="0" w:color="auto"/>
            </w:tcBorders>
          </w:tcPr>
          <w:p w14:paraId="7011E190" w14:textId="77777777" w:rsidR="00AB1FBB" w:rsidRPr="009E008D" w:rsidRDefault="00AB1FBB" w:rsidP="00782865">
            <w:pPr>
              <w:pStyle w:val="wTableNormal"/>
              <w:jc w:val="center"/>
            </w:pPr>
            <w:r w:rsidRPr="009E008D">
              <w:t>2008 – 201</w:t>
            </w:r>
            <w:r w:rsidR="00782865">
              <w:t>2</w:t>
            </w:r>
          </w:p>
        </w:tc>
        <w:tc>
          <w:tcPr>
            <w:tcW w:w="1556" w:type="dxa"/>
            <w:tcBorders>
              <w:top w:val="single" w:sz="6" w:space="0" w:color="auto"/>
              <w:left w:val="single" w:sz="6" w:space="0" w:color="auto"/>
              <w:bottom w:val="single" w:sz="6" w:space="0" w:color="auto"/>
              <w:right w:val="single" w:sz="6" w:space="0" w:color="auto"/>
            </w:tcBorders>
          </w:tcPr>
          <w:p w14:paraId="790756D5" w14:textId="77777777" w:rsidR="00AB1FBB" w:rsidRPr="009E008D" w:rsidRDefault="00AB1FBB" w:rsidP="006D389B">
            <w:pPr>
              <w:pStyle w:val="wTableNormal"/>
              <w:jc w:val="center"/>
            </w:pPr>
            <w:r w:rsidRPr="009E008D">
              <w:t>$5,000</w:t>
            </w:r>
          </w:p>
        </w:tc>
        <w:tc>
          <w:tcPr>
            <w:tcW w:w="2310" w:type="dxa"/>
            <w:tcBorders>
              <w:top w:val="single" w:sz="6" w:space="0" w:color="auto"/>
              <w:left w:val="single" w:sz="6" w:space="0" w:color="auto"/>
              <w:bottom w:val="single" w:sz="6" w:space="0" w:color="auto"/>
              <w:right w:val="single" w:sz="6" w:space="0" w:color="auto"/>
            </w:tcBorders>
          </w:tcPr>
          <w:p w14:paraId="299B1D98" w14:textId="77777777" w:rsidR="00AB1FBB" w:rsidRPr="009E008D" w:rsidRDefault="00AB1FBB" w:rsidP="006D389B">
            <w:pPr>
              <w:pStyle w:val="wTableNormal"/>
              <w:jc w:val="center"/>
            </w:pPr>
            <w:r w:rsidRPr="009E008D">
              <w:t>$1,000</w:t>
            </w:r>
          </w:p>
        </w:tc>
        <w:tc>
          <w:tcPr>
            <w:tcW w:w="1726" w:type="dxa"/>
            <w:tcBorders>
              <w:top w:val="single" w:sz="6" w:space="0" w:color="auto"/>
              <w:left w:val="single" w:sz="6" w:space="0" w:color="auto"/>
              <w:bottom w:val="single" w:sz="6" w:space="0" w:color="auto"/>
            </w:tcBorders>
          </w:tcPr>
          <w:p w14:paraId="3ECB1F91" w14:textId="77777777" w:rsidR="00AB1FBB" w:rsidRPr="009E008D" w:rsidRDefault="00AB1FBB" w:rsidP="006D389B">
            <w:pPr>
              <w:pStyle w:val="wTableNormal"/>
              <w:jc w:val="center"/>
            </w:pPr>
            <w:r w:rsidRPr="009E008D">
              <w:t>$6,000</w:t>
            </w:r>
          </w:p>
        </w:tc>
      </w:tr>
      <w:tr w:rsidR="004D291F" w:rsidRPr="006D389B" w14:paraId="5E483E16" w14:textId="77777777" w:rsidTr="00887A0A">
        <w:trPr>
          <w:trHeight w:val="285"/>
          <w:jc w:val="center"/>
        </w:trPr>
        <w:tc>
          <w:tcPr>
            <w:tcW w:w="1503" w:type="dxa"/>
            <w:tcBorders>
              <w:top w:val="single" w:sz="6" w:space="0" w:color="auto"/>
              <w:bottom w:val="single" w:sz="6" w:space="0" w:color="auto"/>
              <w:right w:val="single" w:sz="6" w:space="0" w:color="auto"/>
            </w:tcBorders>
            <w:vAlign w:val="center"/>
          </w:tcPr>
          <w:p w14:paraId="7F14BCF4" w14:textId="77777777" w:rsidR="004D291F" w:rsidRPr="009E008D" w:rsidRDefault="004D291F" w:rsidP="00D23200">
            <w:pPr>
              <w:pStyle w:val="wTableNormal"/>
              <w:jc w:val="center"/>
            </w:pPr>
            <w:r>
              <w:t>2013</w:t>
            </w:r>
            <w:r w:rsidR="00330BC0">
              <w:t xml:space="preserve"> </w:t>
            </w:r>
            <w:r w:rsidR="00330BC0" w:rsidRPr="009E008D">
              <w:t>–</w:t>
            </w:r>
            <w:r w:rsidR="00330BC0">
              <w:t xml:space="preserve"> 201</w:t>
            </w:r>
            <w:r w:rsidR="00D23200">
              <w:t>5</w:t>
            </w:r>
          </w:p>
        </w:tc>
        <w:tc>
          <w:tcPr>
            <w:tcW w:w="1556" w:type="dxa"/>
            <w:tcBorders>
              <w:top w:val="single" w:sz="6" w:space="0" w:color="auto"/>
              <w:left w:val="single" w:sz="6" w:space="0" w:color="auto"/>
              <w:bottom w:val="single" w:sz="6" w:space="0" w:color="auto"/>
              <w:right w:val="single" w:sz="6" w:space="0" w:color="auto"/>
            </w:tcBorders>
            <w:vAlign w:val="center"/>
          </w:tcPr>
          <w:p w14:paraId="59A1E981" w14:textId="77777777" w:rsidR="004D291F" w:rsidRPr="009E008D" w:rsidRDefault="004D291F" w:rsidP="006D389B">
            <w:pPr>
              <w:pStyle w:val="wTableNormal"/>
              <w:jc w:val="center"/>
            </w:pPr>
            <w:r>
              <w:t>$5,500</w:t>
            </w:r>
          </w:p>
        </w:tc>
        <w:tc>
          <w:tcPr>
            <w:tcW w:w="2310" w:type="dxa"/>
            <w:tcBorders>
              <w:top w:val="single" w:sz="6" w:space="0" w:color="auto"/>
              <w:left w:val="single" w:sz="6" w:space="0" w:color="auto"/>
              <w:bottom w:val="single" w:sz="6" w:space="0" w:color="auto"/>
              <w:right w:val="single" w:sz="6" w:space="0" w:color="auto"/>
            </w:tcBorders>
            <w:vAlign w:val="center"/>
          </w:tcPr>
          <w:p w14:paraId="3387E649" w14:textId="77777777" w:rsidR="004D291F" w:rsidRPr="009E008D" w:rsidRDefault="004D291F" w:rsidP="006D389B">
            <w:pPr>
              <w:pStyle w:val="wTableNormal"/>
              <w:jc w:val="center"/>
            </w:pPr>
            <w:r>
              <w:t>$1,000</w:t>
            </w:r>
          </w:p>
        </w:tc>
        <w:tc>
          <w:tcPr>
            <w:tcW w:w="1726" w:type="dxa"/>
            <w:tcBorders>
              <w:top w:val="single" w:sz="6" w:space="0" w:color="auto"/>
              <w:left w:val="single" w:sz="6" w:space="0" w:color="auto"/>
              <w:bottom w:val="single" w:sz="6" w:space="0" w:color="auto"/>
            </w:tcBorders>
            <w:vAlign w:val="center"/>
          </w:tcPr>
          <w:p w14:paraId="7F9A51FC" w14:textId="77777777" w:rsidR="004D291F" w:rsidRPr="009E008D" w:rsidRDefault="004D291F" w:rsidP="006D389B">
            <w:pPr>
              <w:pStyle w:val="wTableNormal"/>
              <w:jc w:val="center"/>
            </w:pPr>
            <w:r>
              <w:t>$6,500</w:t>
            </w:r>
          </w:p>
        </w:tc>
      </w:tr>
      <w:tr w:rsidR="00AB1FBB" w:rsidRPr="006D389B" w14:paraId="7B425D54" w14:textId="77777777" w:rsidTr="006D389B">
        <w:trPr>
          <w:trHeight w:val="540"/>
          <w:jc w:val="center"/>
        </w:trPr>
        <w:tc>
          <w:tcPr>
            <w:tcW w:w="7095" w:type="dxa"/>
            <w:gridSpan w:val="4"/>
            <w:tcBorders>
              <w:top w:val="single" w:sz="6" w:space="0" w:color="auto"/>
            </w:tcBorders>
          </w:tcPr>
          <w:p w14:paraId="1482B07B" w14:textId="77777777" w:rsidR="00AB1FBB" w:rsidRPr="006D389B" w:rsidRDefault="00AB1FBB" w:rsidP="00AB1FBB">
            <w:pPr>
              <w:pStyle w:val="wTableNormal"/>
              <w:rPr>
                <w:sz w:val="18"/>
                <w:szCs w:val="18"/>
              </w:rPr>
            </w:pPr>
            <w:r w:rsidRPr="006D389B">
              <w:rPr>
                <w:sz w:val="18"/>
                <w:szCs w:val="18"/>
              </w:rPr>
              <w:t xml:space="preserve">   *Catch-up contributions</w:t>
            </w:r>
            <w:r w:rsidR="00A95039" w:rsidRPr="006D389B">
              <w:rPr>
                <w:sz w:val="18"/>
                <w:szCs w:val="18"/>
              </w:rPr>
              <w:fldChar w:fldCharType="begin"/>
            </w:r>
            <w:r w:rsidR="00293611">
              <w:instrText xml:space="preserve"> XE "</w:instrText>
            </w:r>
            <w:r w:rsidR="00293611" w:rsidRPr="00CD56BD">
              <w:instrText>Catch-up contributions</w:instrText>
            </w:r>
            <w:r w:rsidR="00293611">
              <w:instrText xml:space="preserve">" </w:instrText>
            </w:r>
            <w:r w:rsidR="00A95039" w:rsidRPr="006D389B">
              <w:rPr>
                <w:sz w:val="18"/>
                <w:szCs w:val="18"/>
              </w:rPr>
              <w:fldChar w:fldCharType="end"/>
            </w:r>
            <w:r w:rsidRPr="006D389B">
              <w:rPr>
                <w:sz w:val="18"/>
                <w:szCs w:val="18"/>
              </w:rPr>
              <w:t xml:space="preserve"> may be made by individuals age 50 or older</w:t>
            </w:r>
          </w:p>
          <w:p w14:paraId="74B91408" w14:textId="77777777" w:rsidR="00AB1FBB" w:rsidRPr="006D389B" w:rsidRDefault="00AB1FBB" w:rsidP="00AB1FBB">
            <w:pPr>
              <w:pStyle w:val="wTableNormal"/>
              <w:rPr>
                <w:sz w:val="18"/>
                <w:szCs w:val="18"/>
              </w:rPr>
            </w:pPr>
            <w:r w:rsidRPr="006D389B">
              <w:rPr>
                <w:sz w:val="18"/>
                <w:szCs w:val="18"/>
              </w:rPr>
              <w:t xml:space="preserve">   ‡Amount shown includes catch-up contributions</w:t>
            </w:r>
            <w:r w:rsidR="00A95039" w:rsidRPr="006D389B">
              <w:rPr>
                <w:sz w:val="18"/>
                <w:szCs w:val="18"/>
              </w:rPr>
              <w:fldChar w:fldCharType="begin"/>
            </w:r>
            <w:r w:rsidR="00500F1D">
              <w:instrText xml:space="preserve"> XE "</w:instrText>
            </w:r>
            <w:r w:rsidR="00500F1D" w:rsidRPr="006D389B">
              <w:rPr>
                <w:szCs w:val="22"/>
              </w:rPr>
              <w:instrText>catch-up contributions</w:instrText>
            </w:r>
            <w:r w:rsidR="00500F1D">
              <w:instrText xml:space="preserve">" </w:instrText>
            </w:r>
            <w:r w:rsidR="00A95039" w:rsidRPr="006D389B">
              <w:rPr>
                <w:sz w:val="18"/>
                <w:szCs w:val="18"/>
              </w:rPr>
              <w:fldChar w:fldCharType="end"/>
            </w:r>
          </w:p>
        </w:tc>
      </w:tr>
    </w:tbl>
    <w:p w14:paraId="3C036B68" w14:textId="77777777" w:rsidR="00BA271D" w:rsidRDefault="00BA271D" w:rsidP="00BA271D">
      <w:pPr>
        <w:pStyle w:val="Heading4"/>
      </w:pPr>
      <w:bookmarkStart w:id="156" w:name="_Toc404357226"/>
      <w:r>
        <w:t>Active Participant Rules Apply to Employee Contributions</w:t>
      </w:r>
      <w:bookmarkEnd w:id="156"/>
    </w:p>
    <w:p w14:paraId="6A3C536A" w14:textId="77777777" w:rsidR="004D12C7" w:rsidRPr="005124A4" w:rsidRDefault="004D12C7" w:rsidP="00BA271D">
      <w:pPr>
        <w:spacing w:before="120"/>
        <w:rPr>
          <w:szCs w:val="22"/>
        </w:rPr>
      </w:pPr>
      <w:r>
        <w:rPr>
          <w:szCs w:val="22"/>
        </w:rPr>
        <w:t>An employee may take a tax deduction</w:t>
      </w:r>
      <w:r w:rsidR="00A95039">
        <w:rPr>
          <w:szCs w:val="22"/>
        </w:rPr>
        <w:fldChar w:fldCharType="begin"/>
      </w:r>
      <w:r w:rsidR="00293611">
        <w:instrText xml:space="preserve"> XE "</w:instrText>
      </w:r>
      <w:r w:rsidR="00293611" w:rsidRPr="00CD56BD">
        <w:rPr>
          <w:szCs w:val="22"/>
        </w:rPr>
        <w:instrText>tax deduction</w:instrText>
      </w:r>
      <w:r w:rsidR="00293611">
        <w:instrText xml:space="preserve">" </w:instrText>
      </w:r>
      <w:r w:rsidR="00A95039">
        <w:rPr>
          <w:szCs w:val="22"/>
        </w:rPr>
        <w:fldChar w:fldCharType="end"/>
      </w:r>
      <w:r>
        <w:rPr>
          <w:szCs w:val="22"/>
        </w:rPr>
        <w:t xml:space="preserve"> for contributions he or she makes to a SEP IRA under the same rules that apply to a tax deduction for contributions made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w:t>
      </w:r>
      <w:r w:rsidR="00297ACB">
        <w:rPr>
          <w:szCs w:val="22"/>
        </w:rPr>
        <w:t xml:space="preserve"> </w:t>
      </w:r>
      <w:r>
        <w:rPr>
          <w:szCs w:val="22"/>
        </w:rPr>
        <w:t>Specifically, if the employee is an active participant</w:t>
      </w:r>
      <w:r w:rsidR="00A95039">
        <w:rPr>
          <w:szCs w:val="22"/>
        </w:rPr>
        <w:fldChar w:fldCharType="begin"/>
      </w:r>
      <w:r w:rsidR="00293611">
        <w:instrText xml:space="preserve"> XE "</w:instrText>
      </w:r>
      <w:r w:rsidR="00293611" w:rsidRPr="00CD56BD">
        <w:rPr>
          <w:szCs w:val="22"/>
        </w:rPr>
        <w:instrText>active participant</w:instrText>
      </w:r>
      <w:r w:rsidR="00293611">
        <w:instrText xml:space="preserve">" </w:instrText>
      </w:r>
      <w:r w:rsidR="00A95039">
        <w:rPr>
          <w:szCs w:val="22"/>
        </w:rPr>
        <w:fldChar w:fldCharType="end"/>
      </w:r>
      <w:r>
        <w:rPr>
          <w:szCs w:val="22"/>
        </w:rPr>
        <w:t xml:space="preserve"> in his or her employer’</w:t>
      </w:r>
      <w:r w:rsidR="005124A4">
        <w:rPr>
          <w:szCs w:val="22"/>
        </w:rPr>
        <w:t>s</w:t>
      </w:r>
      <w:r>
        <w:rPr>
          <w:szCs w:val="22"/>
        </w:rPr>
        <w:t xml:space="preserve"> retirement plan</w:t>
      </w:r>
      <w:r w:rsidR="005124A4">
        <w:rPr>
          <w:szCs w:val="22"/>
        </w:rPr>
        <w:t>, the deduction is phased out based on the individual’s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sidR="005124A4">
        <w:rPr>
          <w:szCs w:val="22"/>
        </w:rPr>
        <w:t>.</w:t>
      </w:r>
      <w:r w:rsidR="00297ACB">
        <w:rPr>
          <w:szCs w:val="22"/>
        </w:rPr>
        <w:t xml:space="preserve"> </w:t>
      </w:r>
      <w:r w:rsidR="005124A4">
        <w:rPr>
          <w:szCs w:val="22"/>
        </w:rPr>
        <w:t xml:space="preserve">An employee is considered an active participant in his or her employer’s SEP IRA </w:t>
      </w:r>
      <w:r w:rsidR="005124A4">
        <w:rPr>
          <w:i/>
          <w:szCs w:val="22"/>
        </w:rPr>
        <w:t>if any employer contribution is made during the taxable year</w:t>
      </w:r>
      <w:r w:rsidR="005124A4">
        <w:rPr>
          <w:szCs w:val="22"/>
        </w:rPr>
        <w:t>.</w:t>
      </w:r>
    </w:p>
    <w:p w14:paraId="2758F329" w14:textId="77777777" w:rsidR="005124A4" w:rsidRDefault="005124A4" w:rsidP="00BA271D">
      <w:pPr>
        <w:spacing w:before="120"/>
        <w:rPr>
          <w:szCs w:val="22"/>
        </w:rPr>
      </w:pPr>
      <w:r>
        <w:rPr>
          <w:szCs w:val="22"/>
        </w:rPr>
        <w:t>The reduction of the deductible amount of a SEP IRA contribution made by an employee is determined by using the following formula:</w:t>
      </w:r>
    </w:p>
    <w:tbl>
      <w:tblPr>
        <w:tblW w:w="0" w:type="auto"/>
        <w:jc w:val="center"/>
        <w:tblLayout w:type="fixed"/>
        <w:tblLook w:val="01E0" w:firstRow="1" w:lastRow="1" w:firstColumn="1" w:lastColumn="1" w:noHBand="0" w:noVBand="0"/>
      </w:tblPr>
      <w:tblGrid>
        <w:gridCol w:w="2333"/>
        <w:gridCol w:w="330"/>
        <w:gridCol w:w="1755"/>
        <w:gridCol w:w="330"/>
        <w:gridCol w:w="3408"/>
      </w:tblGrid>
      <w:tr w:rsidR="00570F1C" w:rsidRPr="006D389B" w14:paraId="4DCED17B" w14:textId="77777777" w:rsidTr="006D389B">
        <w:trPr>
          <w:jc w:val="center"/>
        </w:trPr>
        <w:tc>
          <w:tcPr>
            <w:tcW w:w="2333" w:type="dxa"/>
          </w:tcPr>
          <w:p w14:paraId="1A7523B8" w14:textId="77777777" w:rsidR="005124A4" w:rsidRPr="00CD702C" w:rsidRDefault="005124A4" w:rsidP="006D389B">
            <w:pPr>
              <w:pStyle w:val="wTableNormal"/>
              <w:spacing w:before="80"/>
              <w:jc w:val="center"/>
            </w:pPr>
            <w:r w:rsidRPr="00CD702C">
              <w:t>Reduction</w:t>
            </w:r>
            <w:r w:rsidR="00AB1FBB">
              <w:t xml:space="preserve"> </w:t>
            </w:r>
            <w:r w:rsidR="00E17261" w:rsidRPr="00CD702C">
              <w:t>of</w:t>
            </w:r>
            <w:r w:rsidR="00AB1FBB">
              <w:t xml:space="preserve"> </w:t>
            </w:r>
            <w:r w:rsidRPr="00CD702C">
              <w:t>Deduction</w:t>
            </w:r>
          </w:p>
        </w:tc>
        <w:tc>
          <w:tcPr>
            <w:tcW w:w="330" w:type="dxa"/>
          </w:tcPr>
          <w:p w14:paraId="1AE809AF" w14:textId="77777777" w:rsidR="005124A4" w:rsidRPr="00CD702C" w:rsidRDefault="005124A4" w:rsidP="006D389B">
            <w:pPr>
              <w:pStyle w:val="wTableNormal"/>
              <w:spacing w:before="80"/>
              <w:jc w:val="center"/>
            </w:pPr>
            <w:r w:rsidRPr="00CD702C">
              <w:t>=</w:t>
            </w:r>
          </w:p>
        </w:tc>
        <w:tc>
          <w:tcPr>
            <w:tcW w:w="1755" w:type="dxa"/>
          </w:tcPr>
          <w:p w14:paraId="52C84F1F" w14:textId="77777777" w:rsidR="005124A4" w:rsidRPr="00CD702C" w:rsidRDefault="005124A4" w:rsidP="006D389B">
            <w:pPr>
              <w:pStyle w:val="wTableNormal"/>
              <w:spacing w:before="80"/>
              <w:jc w:val="center"/>
            </w:pPr>
            <w:r w:rsidRPr="00CD702C">
              <w:t>Maximum deduction</w:t>
            </w:r>
          </w:p>
        </w:tc>
        <w:tc>
          <w:tcPr>
            <w:tcW w:w="330" w:type="dxa"/>
          </w:tcPr>
          <w:p w14:paraId="69903C37" w14:textId="77777777" w:rsidR="005124A4" w:rsidRPr="00CD702C" w:rsidRDefault="00AB1FBB" w:rsidP="006D389B">
            <w:pPr>
              <w:pStyle w:val="wTableNormal"/>
              <w:spacing w:before="80"/>
              <w:jc w:val="center"/>
            </w:pPr>
            <w:r>
              <w:t>x</w:t>
            </w:r>
          </w:p>
        </w:tc>
        <w:tc>
          <w:tcPr>
            <w:tcW w:w="3408" w:type="dxa"/>
          </w:tcPr>
          <w:p w14:paraId="5D62EFA8" w14:textId="77777777" w:rsidR="005124A4" w:rsidRPr="00CD702C" w:rsidRDefault="005124A4" w:rsidP="006D389B">
            <w:pPr>
              <w:pStyle w:val="wTableNormal"/>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3790EC87" w14:textId="77777777" w:rsidR="005124A4" w:rsidRPr="00CD702C" w:rsidRDefault="005124A4" w:rsidP="006D389B">
            <w:pPr>
              <w:pStyle w:val="wTableNormal"/>
              <w:jc w:val="center"/>
            </w:pPr>
            <w:r w:rsidRPr="00CD702C">
              <w:t>$10,000</w:t>
            </w:r>
            <w:r w:rsidR="00FB7FC2">
              <w:t xml:space="preserve"> ($20,000 for joint filer)</w:t>
            </w:r>
          </w:p>
        </w:tc>
      </w:tr>
    </w:tbl>
    <w:p w14:paraId="12473EBE" w14:textId="77777777" w:rsidR="00C42DAB" w:rsidRDefault="00C42DAB" w:rsidP="00782865">
      <w:pPr>
        <w:spacing w:before="120"/>
        <w:rPr>
          <w:szCs w:val="22"/>
        </w:rPr>
      </w:pPr>
      <w:r>
        <w:rPr>
          <w:szCs w:val="22"/>
        </w:rPr>
        <w:t xml:space="preserve">The </w:t>
      </w:r>
      <w:r w:rsidR="00297ACB">
        <w:rPr>
          <w:szCs w:val="22"/>
        </w:rPr>
        <w:t>“</w:t>
      </w:r>
      <w:r>
        <w:rPr>
          <w:szCs w:val="22"/>
        </w:rPr>
        <w:t>applicable dollar amount</w:t>
      </w:r>
      <w:r w:rsidR="00A95039">
        <w:rPr>
          <w:szCs w:val="22"/>
        </w:rPr>
        <w:fldChar w:fldCharType="begin"/>
      </w:r>
      <w:r w:rsidR="00293611">
        <w:instrText xml:space="preserve"> XE "</w:instrText>
      </w:r>
      <w:r w:rsidR="00293611" w:rsidRPr="00CD56BD">
        <w:rPr>
          <w:szCs w:val="22"/>
        </w:rPr>
        <w:instrText>applicable dollar amount</w:instrText>
      </w:r>
      <w:r w:rsidR="00293611">
        <w:instrText xml:space="preserve">" </w:instrText>
      </w:r>
      <w:r w:rsidR="00A95039">
        <w:rPr>
          <w:szCs w:val="22"/>
        </w:rPr>
        <w:fldChar w:fldCharType="end"/>
      </w:r>
      <w:r w:rsidR="00297ACB">
        <w:rPr>
          <w:szCs w:val="22"/>
        </w:rPr>
        <w:t>”</w:t>
      </w:r>
      <w:r>
        <w:rPr>
          <w:szCs w:val="22"/>
        </w:rPr>
        <w:t xml:space="preserve"> to be used in the formula depends upon whether the employee files a federal income tax return as a joint filer or as a single (or head of household) filer.</w:t>
      </w:r>
      <w:r w:rsidR="00297ACB">
        <w:rPr>
          <w:szCs w:val="22"/>
        </w:rPr>
        <w:t xml:space="preserve"> </w:t>
      </w:r>
      <w:r>
        <w:rPr>
          <w:szCs w:val="22"/>
        </w:rPr>
        <w:t>The appropriate amounts to substitute into the formula are shown in the table below:</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44"/>
        <w:gridCol w:w="3408"/>
        <w:gridCol w:w="2504"/>
      </w:tblGrid>
      <w:tr w:rsidR="005124A4" w:rsidRPr="006D389B" w14:paraId="6607657B" w14:textId="77777777" w:rsidTr="006D389B">
        <w:trPr>
          <w:trHeight w:val="492"/>
          <w:jc w:val="center"/>
        </w:trPr>
        <w:tc>
          <w:tcPr>
            <w:tcW w:w="1144"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523EB772" w14:textId="77777777" w:rsidR="005124A4" w:rsidRPr="001C0D7A" w:rsidRDefault="005124A4" w:rsidP="00570F1C">
            <w:pPr>
              <w:pStyle w:val="WTableHeaderChar"/>
            </w:pPr>
            <w:r w:rsidRPr="001C0D7A">
              <w:t>Taxable</w:t>
            </w:r>
            <w:r w:rsidR="00570F1C">
              <w:br/>
            </w:r>
            <w:r w:rsidRPr="001C0D7A">
              <w:t>Years</w:t>
            </w:r>
          </w:p>
        </w:tc>
        <w:tc>
          <w:tcPr>
            <w:tcW w:w="3408" w:type="dxa"/>
            <w:tcBorders>
              <w:top w:val="single" w:sz="12" w:space="0" w:color="auto"/>
              <w:left w:val="single" w:sz="6" w:space="0" w:color="auto"/>
              <w:bottom w:val="single" w:sz="12" w:space="0" w:color="auto"/>
              <w:right w:val="single" w:sz="6" w:space="0" w:color="auto"/>
              <w:tl2br w:val="nil"/>
              <w:tr2bl w:val="nil"/>
            </w:tcBorders>
            <w:shd w:val="clear" w:color="auto" w:fill="E3F4FF"/>
          </w:tcPr>
          <w:p w14:paraId="4B1061A3" w14:textId="77777777" w:rsidR="005124A4" w:rsidRPr="001C0D7A" w:rsidRDefault="005124A4" w:rsidP="00570F1C">
            <w:pPr>
              <w:pStyle w:val="WTableHeaderChar"/>
            </w:pPr>
            <w:r w:rsidRPr="001C0D7A">
              <w:t>Single or Head of Household</w:t>
            </w:r>
            <w:r w:rsidR="00570F1C">
              <w:br/>
            </w:r>
            <w:r w:rsidRPr="001C0D7A">
              <w:t>Applicable</w:t>
            </w:r>
            <w:r w:rsidR="00D96284">
              <w:t xml:space="preserve"> </w:t>
            </w:r>
            <w:r w:rsidRPr="001C0D7A">
              <w:t>Dollar Amount</w:t>
            </w:r>
          </w:p>
        </w:tc>
        <w:tc>
          <w:tcPr>
            <w:tcW w:w="2504"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4E7E8028" w14:textId="77777777" w:rsidR="005124A4" w:rsidRPr="001C0D7A" w:rsidRDefault="005124A4" w:rsidP="00570F1C">
            <w:pPr>
              <w:pStyle w:val="WTableHeaderChar"/>
            </w:pPr>
            <w:r w:rsidRPr="001C0D7A">
              <w:t>Joint Filer</w:t>
            </w:r>
            <w:r w:rsidR="00CD702C">
              <w:t xml:space="preserve"> </w:t>
            </w:r>
            <w:r w:rsidRPr="001C0D7A">
              <w:t>Applicable</w:t>
            </w:r>
            <w:r w:rsidR="00570F1C">
              <w:br/>
            </w:r>
            <w:r w:rsidRPr="001C0D7A">
              <w:t>Dollar Amount</w:t>
            </w:r>
          </w:p>
        </w:tc>
      </w:tr>
      <w:tr w:rsidR="00914F42" w:rsidRPr="006D389B" w14:paraId="0C34E6D6" w14:textId="77777777" w:rsidTr="006D389B">
        <w:trPr>
          <w:jc w:val="center"/>
        </w:trPr>
        <w:tc>
          <w:tcPr>
            <w:tcW w:w="1144" w:type="dxa"/>
            <w:tcBorders>
              <w:top w:val="single" w:sz="6" w:space="0" w:color="auto"/>
              <w:bottom w:val="single" w:sz="6" w:space="0" w:color="auto"/>
              <w:right w:val="single" w:sz="6" w:space="0" w:color="auto"/>
            </w:tcBorders>
          </w:tcPr>
          <w:p w14:paraId="44CD0F8D" w14:textId="77777777" w:rsidR="00914F42" w:rsidRPr="00CD702C" w:rsidRDefault="00914F42" w:rsidP="006D389B">
            <w:pPr>
              <w:pStyle w:val="wTableNormal"/>
              <w:jc w:val="center"/>
            </w:pPr>
            <w:r w:rsidRPr="00CD702C">
              <w:t>200</w:t>
            </w:r>
            <w:r w:rsidR="00855D20">
              <w:t>6</w:t>
            </w:r>
          </w:p>
        </w:tc>
        <w:tc>
          <w:tcPr>
            <w:tcW w:w="3408" w:type="dxa"/>
            <w:tcBorders>
              <w:top w:val="single" w:sz="6" w:space="0" w:color="auto"/>
              <w:left w:val="single" w:sz="6" w:space="0" w:color="auto"/>
              <w:bottom w:val="single" w:sz="6" w:space="0" w:color="auto"/>
              <w:right w:val="single" w:sz="6" w:space="0" w:color="auto"/>
            </w:tcBorders>
          </w:tcPr>
          <w:p w14:paraId="09DA7555" w14:textId="77777777" w:rsidR="00914F42" w:rsidRPr="00CD702C" w:rsidRDefault="00914F42" w:rsidP="006D389B">
            <w:pPr>
              <w:pStyle w:val="wTableNormal"/>
              <w:jc w:val="center"/>
            </w:pPr>
            <w:r w:rsidRPr="00CD702C">
              <w:t>$50,000</w:t>
            </w:r>
          </w:p>
        </w:tc>
        <w:tc>
          <w:tcPr>
            <w:tcW w:w="2504" w:type="dxa"/>
            <w:tcBorders>
              <w:top w:val="single" w:sz="6" w:space="0" w:color="auto"/>
              <w:left w:val="single" w:sz="6" w:space="0" w:color="auto"/>
              <w:bottom w:val="single" w:sz="6" w:space="0" w:color="auto"/>
            </w:tcBorders>
          </w:tcPr>
          <w:p w14:paraId="1CD400F1" w14:textId="77777777" w:rsidR="00914F42" w:rsidRPr="00CD702C" w:rsidRDefault="00914F42" w:rsidP="006D389B">
            <w:pPr>
              <w:pStyle w:val="wTableNormal"/>
              <w:jc w:val="center"/>
            </w:pPr>
            <w:r w:rsidRPr="00CD702C">
              <w:t>$7</w:t>
            </w:r>
            <w:r w:rsidR="00855D20">
              <w:t>5</w:t>
            </w:r>
            <w:r w:rsidRPr="00CD702C">
              <w:t>,000</w:t>
            </w:r>
          </w:p>
        </w:tc>
      </w:tr>
      <w:tr w:rsidR="005124A4" w:rsidRPr="006D389B" w14:paraId="2CC196CB" w14:textId="77777777" w:rsidTr="006D389B">
        <w:trPr>
          <w:jc w:val="center"/>
        </w:trPr>
        <w:tc>
          <w:tcPr>
            <w:tcW w:w="1144" w:type="dxa"/>
            <w:tcBorders>
              <w:top w:val="single" w:sz="6" w:space="0" w:color="auto"/>
              <w:bottom w:val="single" w:sz="6" w:space="0" w:color="auto"/>
              <w:right w:val="single" w:sz="6" w:space="0" w:color="auto"/>
            </w:tcBorders>
          </w:tcPr>
          <w:p w14:paraId="64884594" w14:textId="77777777" w:rsidR="005124A4" w:rsidRPr="00CD702C" w:rsidRDefault="00914F42" w:rsidP="006D389B">
            <w:pPr>
              <w:pStyle w:val="wTableNormal"/>
              <w:jc w:val="center"/>
            </w:pPr>
            <w:r>
              <w:t>200</w:t>
            </w:r>
            <w:r w:rsidR="00855D20">
              <w:t>7</w:t>
            </w:r>
          </w:p>
        </w:tc>
        <w:tc>
          <w:tcPr>
            <w:tcW w:w="3408" w:type="dxa"/>
            <w:tcBorders>
              <w:top w:val="single" w:sz="6" w:space="0" w:color="auto"/>
              <w:left w:val="single" w:sz="6" w:space="0" w:color="auto"/>
              <w:bottom w:val="single" w:sz="6" w:space="0" w:color="auto"/>
              <w:right w:val="single" w:sz="6" w:space="0" w:color="auto"/>
            </w:tcBorders>
          </w:tcPr>
          <w:p w14:paraId="5AE2348D" w14:textId="77777777" w:rsidR="005124A4" w:rsidRPr="00CD702C" w:rsidRDefault="001C0D7A" w:rsidP="006D389B">
            <w:pPr>
              <w:pStyle w:val="wTableNormal"/>
              <w:jc w:val="center"/>
            </w:pPr>
            <w:r w:rsidRPr="00CD702C">
              <w:t>$</w:t>
            </w:r>
            <w:r w:rsidR="005124A4" w:rsidRPr="00CD702C">
              <w:t>5</w:t>
            </w:r>
            <w:r w:rsidR="008859DA">
              <w:t>2</w:t>
            </w:r>
            <w:r w:rsidR="005124A4" w:rsidRPr="00CD702C">
              <w:t>,000</w:t>
            </w:r>
          </w:p>
        </w:tc>
        <w:tc>
          <w:tcPr>
            <w:tcW w:w="2504" w:type="dxa"/>
            <w:tcBorders>
              <w:top w:val="single" w:sz="6" w:space="0" w:color="auto"/>
              <w:left w:val="single" w:sz="6" w:space="0" w:color="auto"/>
              <w:bottom w:val="single" w:sz="6" w:space="0" w:color="auto"/>
            </w:tcBorders>
          </w:tcPr>
          <w:p w14:paraId="3306F3BE" w14:textId="77777777" w:rsidR="005124A4" w:rsidRPr="00CD702C" w:rsidRDefault="001C0D7A" w:rsidP="006D389B">
            <w:pPr>
              <w:pStyle w:val="wTableNormal"/>
              <w:jc w:val="center"/>
            </w:pPr>
            <w:r w:rsidRPr="00CD702C">
              <w:t>$</w:t>
            </w:r>
            <w:r w:rsidR="00855D20">
              <w:t>8</w:t>
            </w:r>
            <w:r w:rsidR="008859DA">
              <w:t>3</w:t>
            </w:r>
            <w:r w:rsidR="005124A4" w:rsidRPr="00CD702C">
              <w:t>,000</w:t>
            </w:r>
          </w:p>
        </w:tc>
      </w:tr>
      <w:tr w:rsidR="008859DA" w:rsidRPr="006D389B" w14:paraId="61A858FE" w14:textId="77777777" w:rsidTr="006D389B">
        <w:trPr>
          <w:jc w:val="center"/>
        </w:trPr>
        <w:tc>
          <w:tcPr>
            <w:tcW w:w="1144" w:type="dxa"/>
            <w:tcBorders>
              <w:top w:val="single" w:sz="6" w:space="0" w:color="auto"/>
              <w:bottom w:val="single" w:sz="6" w:space="0" w:color="auto"/>
              <w:right w:val="single" w:sz="6" w:space="0" w:color="auto"/>
            </w:tcBorders>
          </w:tcPr>
          <w:p w14:paraId="19C2AA43" w14:textId="77777777" w:rsidR="008859DA" w:rsidRDefault="008859DA" w:rsidP="006D389B">
            <w:pPr>
              <w:pStyle w:val="wTableNormal"/>
              <w:jc w:val="center"/>
            </w:pPr>
            <w:r>
              <w:t>2008</w:t>
            </w:r>
          </w:p>
        </w:tc>
        <w:tc>
          <w:tcPr>
            <w:tcW w:w="3408" w:type="dxa"/>
            <w:tcBorders>
              <w:top w:val="single" w:sz="6" w:space="0" w:color="auto"/>
              <w:left w:val="single" w:sz="6" w:space="0" w:color="auto"/>
              <w:bottom w:val="single" w:sz="6" w:space="0" w:color="auto"/>
              <w:right w:val="single" w:sz="6" w:space="0" w:color="auto"/>
            </w:tcBorders>
          </w:tcPr>
          <w:p w14:paraId="5C0A8EE0" w14:textId="77777777" w:rsidR="008859DA" w:rsidRPr="00CD702C" w:rsidRDefault="008859DA" w:rsidP="006D389B">
            <w:pPr>
              <w:pStyle w:val="wTableNormal"/>
              <w:jc w:val="center"/>
            </w:pPr>
            <w:r>
              <w:t>$53,000</w:t>
            </w:r>
          </w:p>
        </w:tc>
        <w:tc>
          <w:tcPr>
            <w:tcW w:w="2504" w:type="dxa"/>
            <w:tcBorders>
              <w:top w:val="single" w:sz="6" w:space="0" w:color="auto"/>
              <w:left w:val="single" w:sz="6" w:space="0" w:color="auto"/>
              <w:bottom w:val="single" w:sz="6" w:space="0" w:color="auto"/>
            </w:tcBorders>
          </w:tcPr>
          <w:p w14:paraId="1C180C9B" w14:textId="77777777" w:rsidR="008859DA" w:rsidRPr="00CD702C" w:rsidRDefault="008859DA" w:rsidP="006D389B">
            <w:pPr>
              <w:pStyle w:val="wTableNormal"/>
              <w:jc w:val="center"/>
            </w:pPr>
            <w:r>
              <w:t>$85,000</w:t>
            </w:r>
          </w:p>
        </w:tc>
      </w:tr>
      <w:tr w:rsidR="00C37203" w:rsidRPr="006D389B" w14:paraId="479332B4" w14:textId="77777777" w:rsidTr="006D389B">
        <w:trPr>
          <w:jc w:val="center"/>
        </w:trPr>
        <w:tc>
          <w:tcPr>
            <w:tcW w:w="1144" w:type="dxa"/>
            <w:tcBorders>
              <w:top w:val="single" w:sz="6" w:space="0" w:color="auto"/>
              <w:bottom w:val="single" w:sz="6" w:space="0" w:color="auto"/>
              <w:right w:val="single" w:sz="6" w:space="0" w:color="auto"/>
            </w:tcBorders>
          </w:tcPr>
          <w:p w14:paraId="126AFB71" w14:textId="77777777" w:rsidR="00C37203" w:rsidRDefault="00C37203" w:rsidP="006D389B">
            <w:pPr>
              <w:pStyle w:val="wTableNormal"/>
              <w:jc w:val="center"/>
            </w:pPr>
            <w:r>
              <w:t>2009</w:t>
            </w:r>
          </w:p>
        </w:tc>
        <w:tc>
          <w:tcPr>
            <w:tcW w:w="3408" w:type="dxa"/>
            <w:tcBorders>
              <w:top w:val="single" w:sz="6" w:space="0" w:color="auto"/>
              <w:left w:val="single" w:sz="6" w:space="0" w:color="auto"/>
              <w:bottom w:val="single" w:sz="6" w:space="0" w:color="auto"/>
              <w:right w:val="single" w:sz="6" w:space="0" w:color="auto"/>
            </w:tcBorders>
          </w:tcPr>
          <w:p w14:paraId="2D3CD87F" w14:textId="77777777" w:rsidR="00C37203" w:rsidRDefault="00C37203" w:rsidP="006D389B">
            <w:pPr>
              <w:pStyle w:val="wTableNormal"/>
              <w:jc w:val="center"/>
            </w:pPr>
            <w:r>
              <w:t>$55,000</w:t>
            </w:r>
          </w:p>
        </w:tc>
        <w:tc>
          <w:tcPr>
            <w:tcW w:w="2504" w:type="dxa"/>
            <w:tcBorders>
              <w:top w:val="single" w:sz="6" w:space="0" w:color="auto"/>
              <w:left w:val="single" w:sz="6" w:space="0" w:color="auto"/>
              <w:bottom w:val="single" w:sz="6" w:space="0" w:color="auto"/>
            </w:tcBorders>
          </w:tcPr>
          <w:p w14:paraId="124A4DB1" w14:textId="77777777" w:rsidR="00C37203" w:rsidRDefault="00C37203" w:rsidP="006D389B">
            <w:pPr>
              <w:pStyle w:val="wTableNormal"/>
              <w:jc w:val="center"/>
            </w:pPr>
            <w:r>
              <w:t>$89,000</w:t>
            </w:r>
          </w:p>
        </w:tc>
      </w:tr>
      <w:tr w:rsidR="00AA3823" w:rsidRPr="006D389B" w14:paraId="26ADFCCC" w14:textId="77777777" w:rsidTr="00C861BA">
        <w:trPr>
          <w:jc w:val="center"/>
        </w:trPr>
        <w:tc>
          <w:tcPr>
            <w:tcW w:w="1144" w:type="dxa"/>
            <w:tcBorders>
              <w:top w:val="single" w:sz="6" w:space="0" w:color="auto"/>
              <w:bottom w:val="single" w:sz="6" w:space="0" w:color="auto"/>
              <w:right w:val="single" w:sz="6" w:space="0" w:color="auto"/>
            </w:tcBorders>
          </w:tcPr>
          <w:p w14:paraId="750CEE17" w14:textId="77777777" w:rsidR="00AA3823" w:rsidRDefault="00AA3823" w:rsidP="006D389B">
            <w:pPr>
              <w:pStyle w:val="wTableNormal"/>
              <w:jc w:val="center"/>
            </w:pPr>
            <w:r>
              <w:t>2010</w:t>
            </w:r>
          </w:p>
        </w:tc>
        <w:tc>
          <w:tcPr>
            <w:tcW w:w="3408" w:type="dxa"/>
            <w:tcBorders>
              <w:top w:val="single" w:sz="6" w:space="0" w:color="auto"/>
              <w:left w:val="single" w:sz="6" w:space="0" w:color="auto"/>
              <w:bottom w:val="single" w:sz="6" w:space="0" w:color="auto"/>
              <w:right w:val="single" w:sz="6" w:space="0" w:color="auto"/>
            </w:tcBorders>
          </w:tcPr>
          <w:p w14:paraId="0C16EC3C" w14:textId="77777777" w:rsidR="00AA3823" w:rsidRDefault="00AA3823" w:rsidP="006D389B">
            <w:pPr>
              <w:pStyle w:val="wTableNormal"/>
              <w:jc w:val="center"/>
            </w:pPr>
            <w:r>
              <w:t>$56,000</w:t>
            </w:r>
          </w:p>
        </w:tc>
        <w:tc>
          <w:tcPr>
            <w:tcW w:w="2504" w:type="dxa"/>
            <w:tcBorders>
              <w:top w:val="single" w:sz="6" w:space="0" w:color="auto"/>
              <w:left w:val="single" w:sz="6" w:space="0" w:color="auto"/>
              <w:bottom w:val="single" w:sz="6" w:space="0" w:color="auto"/>
            </w:tcBorders>
          </w:tcPr>
          <w:p w14:paraId="66716148" w14:textId="77777777" w:rsidR="00AA3823" w:rsidRDefault="00AA3823" w:rsidP="006D389B">
            <w:pPr>
              <w:pStyle w:val="wTableNormal"/>
              <w:jc w:val="center"/>
            </w:pPr>
            <w:r>
              <w:t>$89,000</w:t>
            </w:r>
          </w:p>
        </w:tc>
      </w:tr>
      <w:tr w:rsidR="00C861BA" w:rsidRPr="006D389B" w14:paraId="4C47B5C7" w14:textId="77777777" w:rsidTr="00782865">
        <w:trPr>
          <w:jc w:val="center"/>
        </w:trPr>
        <w:tc>
          <w:tcPr>
            <w:tcW w:w="1144" w:type="dxa"/>
            <w:tcBorders>
              <w:top w:val="single" w:sz="6" w:space="0" w:color="auto"/>
              <w:bottom w:val="single" w:sz="6" w:space="0" w:color="auto"/>
              <w:right w:val="single" w:sz="6" w:space="0" w:color="auto"/>
            </w:tcBorders>
            <w:vAlign w:val="center"/>
          </w:tcPr>
          <w:p w14:paraId="7BC7D853" w14:textId="77777777" w:rsidR="00C861BA" w:rsidRDefault="00C861BA" w:rsidP="008C6174">
            <w:pPr>
              <w:pStyle w:val="wTableNormal"/>
              <w:jc w:val="center"/>
            </w:pPr>
            <w:r>
              <w:t>2011</w:t>
            </w:r>
          </w:p>
        </w:tc>
        <w:tc>
          <w:tcPr>
            <w:tcW w:w="3408" w:type="dxa"/>
            <w:tcBorders>
              <w:top w:val="single" w:sz="6" w:space="0" w:color="auto"/>
              <w:left w:val="single" w:sz="6" w:space="0" w:color="auto"/>
              <w:bottom w:val="single" w:sz="6" w:space="0" w:color="auto"/>
              <w:right w:val="single" w:sz="6" w:space="0" w:color="auto"/>
            </w:tcBorders>
            <w:vAlign w:val="center"/>
          </w:tcPr>
          <w:p w14:paraId="3CC2ED86" w14:textId="77777777" w:rsidR="00C861BA" w:rsidRDefault="00C861BA" w:rsidP="008C6174">
            <w:pPr>
              <w:pStyle w:val="wTableNormal"/>
              <w:jc w:val="center"/>
            </w:pPr>
            <w:r>
              <w:t>$56,000</w:t>
            </w:r>
          </w:p>
        </w:tc>
        <w:tc>
          <w:tcPr>
            <w:tcW w:w="2504" w:type="dxa"/>
            <w:tcBorders>
              <w:top w:val="single" w:sz="6" w:space="0" w:color="auto"/>
              <w:left w:val="single" w:sz="6" w:space="0" w:color="auto"/>
              <w:bottom w:val="single" w:sz="6" w:space="0" w:color="auto"/>
            </w:tcBorders>
            <w:vAlign w:val="center"/>
          </w:tcPr>
          <w:p w14:paraId="1D1F13CF" w14:textId="77777777" w:rsidR="00C861BA" w:rsidRDefault="00C861BA" w:rsidP="008C6174">
            <w:pPr>
              <w:pStyle w:val="wTableNormal"/>
              <w:jc w:val="center"/>
            </w:pPr>
            <w:r>
              <w:t>$90,000</w:t>
            </w:r>
          </w:p>
        </w:tc>
      </w:tr>
      <w:tr w:rsidR="00782865" w:rsidRPr="006D389B" w14:paraId="5F8473CA" w14:textId="77777777" w:rsidTr="004D291F">
        <w:trPr>
          <w:jc w:val="center"/>
        </w:trPr>
        <w:tc>
          <w:tcPr>
            <w:tcW w:w="1144" w:type="dxa"/>
            <w:tcBorders>
              <w:top w:val="single" w:sz="6" w:space="0" w:color="auto"/>
              <w:bottom w:val="single" w:sz="6" w:space="0" w:color="auto"/>
              <w:right w:val="single" w:sz="6" w:space="0" w:color="auto"/>
            </w:tcBorders>
            <w:vAlign w:val="center"/>
          </w:tcPr>
          <w:p w14:paraId="76157B5E" w14:textId="77777777" w:rsidR="00782865" w:rsidRDefault="00782865" w:rsidP="008C6174">
            <w:pPr>
              <w:pStyle w:val="wTableNormal"/>
              <w:jc w:val="center"/>
            </w:pPr>
            <w:r>
              <w:t>2012</w:t>
            </w:r>
          </w:p>
        </w:tc>
        <w:tc>
          <w:tcPr>
            <w:tcW w:w="3408" w:type="dxa"/>
            <w:tcBorders>
              <w:top w:val="single" w:sz="6" w:space="0" w:color="auto"/>
              <w:left w:val="single" w:sz="6" w:space="0" w:color="auto"/>
              <w:bottom w:val="single" w:sz="6" w:space="0" w:color="auto"/>
              <w:right w:val="single" w:sz="6" w:space="0" w:color="auto"/>
            </w:tcBorders>
            <w:vAlign w:val="center"/>
          </w:tcPr>
          <w:p w14:paraId="312AAA74" w14:textId="77777777" w:rsidR="00782865" w:rsidRDefault="00782865" w:rsidP="008C6174">
            <w:pPr>
              <w:pStyle w:val="wTableNormal"/>
              <w:jc w:val="center"/>
            </w:pPr>
            <w:r>
              <w:t>$58,000</w:t>
            </w:r>
          </w:p>
        </w:tc>
        <w:tc>
          <w:tcPr>
            <w:tcW w:w="2504" w:type="dxa"/>
            <w:tcBorders>
              <w:top w:val="single" w:sz="6" w:space="0" w:color="auto"/>
              <w:left w:val="single" w:sz="6" w:space="0" w:color="auto"/>
              <w:bottom w:val="single" w:sz="6" w:space="0" w:color="auto"/>
            </w:tcBorders>
            <w:vAlign w:val="center"/>
          </w:tcPr>
          <w:p w14:paraId="4CD9EDCB" w14:textId="77777777" w:rsidR="00782865" w:rsidRDefault="00782865" w:rsidP="008C6174">
            <w:pPr>
              <w:pStyle w:val="wTableNormal"/>
              <w:jc w:val="center"/>
            </w:pPr>
            <w:r>
              <w:t>$92,000</w:t>
            </w:r>
          </w:p>
        </w:tc>
      </w:tr>
      <w:tr w:rsidR="004D291F" w:rsidRPr="006D389B" w14:paraId="5F01F6A8" w14:textId="77777777" w:rsidTr="00330BC0">
        <w:trPr>
          <w:jc w:val="center"/>
        </w:trPr>
        <w:tc>
          <w:tcPr>
            <w:tcW w:w="1144" w:type="dxa"/>
            <w:tcBorders>
              <w:top w:val="single" w:sz="6" w:space="0" w:color="auto"/>
              <w:bottom w:val="single" w:sz="6" w:space="0" w:color="auto"/>
              <w:right w:val="single" w:sz="6" w:space="0" w:color="auto"/>
            </w:tcBorders>
            <w:vAlign w:val="center"/>
          </w:tcPr>
          <w:p w14:paraId="775AED90" w14:textId="77777777" w:rsidR="004D291F" w:rsidRDefault="004D291F" w:rsidP="008C6174">
            <w:pPr>
              <w:pStyle w:val="wTableNormal"/>
              <w:jc w:val="center"/>
            </w:pPr>
            <w:r>
              <w:t>2013</w:t>
            </w:r>
          </w:p>
        </w:tc>
        <w:tc>
          <w:tcPr>
            <w:tcW w:w="3408" w:type="dxa"/>
            <w:tcBorders>
              <w:top w:val="single" w:sz="6" w:space="0" w:color="auto"/>
              <w:left w:val="single" w:sz="6" w:space="0" w:color="auto"/>
              <w:bottom w:val="single" w:sz="6" w:space="0" w:color="auto"/>
              <w:right w:val="single" w:sz="6" w:space="0" w:color="auto"/>
            </w:tcBorders>
            <w:vAlign w:val="center"/>
          </w:tcPr>
          <w:p w14:paraId="76589DB4" w14:textId="77777777" w:rsidR="004D291F" w:rsidRDefault="004D291F" w:rsidP="008C6174">
            <w:pPr>
              <w:pStyle w:val="wTableNormal"/>
              <w:jc w:val="center"/>
            </w:pPr>
            <w:r>
              <w:t>$59,000</w:t>
            </w:r>
          </w:p>
        </w:tc>
        <w:tc>
          <w:tcPr>
            <w:tcW w:w="2504" w:type="dxa"/>
            <w:tcBorders>
              <w:top w:val="single" w:sz="6" w:space="0" w:color="auto"/>
              <w:left w:val="single" w:sz="6" w:space="0" w:color="auto"/>
              <w:bottom w:val="single" w:sz="6" w:space="0" w:color="auto"/>
            </w:tcBorders>
            <w:vAlign w:val="center"/>
          </w:tcPr>
          <w:p w14:paraId="40A6EDEA" w14:textId="77777777" w:rsidR="004D291F" w:rsidRDefault="004D291F" w:rsidP="008C6174">
            <w:pPr>
              <w:pStyle w:val="wTableNormal"/>
              <w:jc w:val="center"/>
            </w:pPr>
            <w:r>
              <w:t>$95,000</w:t>
            </w:r>
          </w:p>
        </w:tc>
      </w:tr>
      <w:tr w:rsidR="00330BC0" w:rsidRPr="006D389B" w14:paraId="3191B0EA" w14:textId="77777777" w:rsidTr="00D23200">
        <w:trPr>
          <w:jc w:val="center"/>
        </w:trPr>
        <w:tc>
          <w:tcPr>
            <w:tcW w:w="1144" w:type="dxa"/>
            <w:tcBorders>
              <w:top w:val="single" w:sz="6" w:space="0" w:color="auto"/>
              <w:bottom w:val="single" w:sz="6" w:space="0" w:color="auto"/>
              <w:right w:val="single" w:sz="6" w:space="0" w:color="auto"/>
            </w:tcBorders>
            <w:vAlign w:val="center"/>
          </w:tcPr>
          <w:p w14:paraId="69608443" w14:textId="77777777" w:rsidR="00330BC0" w:rsidRDefault="00330BC0" w:rsidP="008C6174">
            <w:pPr>
              <w:pStyle w:val="wTableNormal"/>
              <w:jc w:val="center"/>
            </w:pPr>
            <w:r>
              <w:t>2014</w:t>
            </w:r>
          </w:p>
        </w:tc>
        <w:tc>
          <w:tcPr>
            <w:tcW w:w="3408" w:type="dxa"/>
            <w:tcBorders>
              <w:top w:val="single" w:sz="6" w:space="0" w:color="auto"/>
              <w:left w:val="single" w:sz="6" w:space="0" w:color="auto"/>
              <w:bottom w:val="single" w:sz="6" w:space="0" w:color="auto"/>
              <w:right w:val="single" w:sz="6" w:space="0" w:color="auto"/>
            </w:tcBorders>
            <w:vAlign w:val="center"/>
          </w:tcPr>
          <w:p w14:paraId="36BEFA7F" w14:textId="77777777" w:rsidR="00330BC0" w:rsidRDefault="00330BC0" w:rsidP="008C6174">
            <w:pPr>
              <w:pStyle w:val="wTableNormal"/>
              <w:jc w:val="center"/>
            </w:pPr>
            <w:r>
              <w:t>$60,000</w:t>
            </w:r>
          </w:p>
        </w:tc>
        <w:tc>
          <w:tcPr>
            <w:tcW w:w="2504" w:type="dxa"/>
            <w:tcBorders>
              <w:top w:val="single" w:sz="6" w:space="0" w:color="auto"/>
              <w:left w:val="single" w:sz="6" w:space="0" w:color="auto"/>
              <w:bottom w:val="single" w:sz="6" w:space="0" w:color="auto"/>
            </w:tcBorders>
            <w:vAlign w:val="center"/>
          </w:tcPr>
          <w:p w14:paraId="579CB327" w14:textId="77777777" w:rsidR="00330BC0" w:rsidRDefault="00330BC0" w:rsidP="008C6174">
            <w:pPr>
              <w:pStyle w:val="wTableNormal"/>
              <w:jc w:val="center"/>
            </w:pPr>
            <w:r>
              <w:t>$96,000</w:t>
            </w:r>
          </w:p>
        </w:tc>
      </w:tr>
      <w:tr w:rsidR="00D23200" w:rsidRPr="006D389B" w14:paraId="3F214B7B" w14:textId="77777777" w:rsidTr="008C6174">
        <w:trPr>
          <w:jc w:val="center"/>
        </w:trPr>
        <w:tc>
          <w:tcPr>
            <w:tcW w:w="1144" w:type="dxa"/>
            <w:tcBorders>
              <w:top w:val="single" w:sz="6" w:space="0" w:color="auto"/>
              <w:right w:val="single" w:sz="6" w:space="0" w:color="auto"/>
            </w:tcBorders>
            <w:vAlign w:val="center"/>
          </w:tcPr>
          <w:p w14:paraId="3D3CE15E" w14:textId="77777777" w:rsidR="00D23200" w:rsidRDefault="00D23200" w:rsidP="008C6174">
            <w:pPr>
              <w:pStyle w:val="wTableNormal"/>
              <w:jc w:val="center"/>
            </w:pPr>
            <w:r>
              <w:t>2015</w:t>
            </w:r>
          </w:p>
        </w:tc>
        <w:tc>
          <w:tcPr>
            <w:tcW w:w="3408" w:type="dxa"/>
            <w:tcBorders>
              <w:top w:val="single" w:sz="6" w:space="0" w:color="auto"/>
              <w:left w:val="single" w:sz="6" w:space="0" w:color="auto"/>
              <w:right w:val="single" w:sz="6" w:space="0" w:color="auto"/>
            </w:tcBorders>
            <w:vAlign w:val="center"/>
          </w:tcPr>
          <w:p w14:paraId="639E9D40" w14:textId="77777777" w:rsidR="00D23200" w:rsidRDefault="00D23200" w:rsidP="008C6174">
            <w:pPr>
              <w:pStyle w:val="wTableNormal"/>
              <w:jc w:val="center"/>
            </w:pPr>
            <w:r>
              <w:t>$61,000</w:t>
            </w:r>
          </w:p>
        </w:tc>
        <w:tc>
          <w:tcPr>
            <w:tcW w:w="2504" w:type="dxa"/>
            <w:tcBorders>
              <w:top w:val="single" w:sz="6" w:space="0" w:color="auto"/>
              <w:left w:val="single" w:sz="6" w:space="0" w:color="auto"/>
            </w:tcBorders>
            <w:vAlign w:val="center"/>
          </w:tcPr>
          <w:p w14:paraId="570392BD" w14:textId="77777777" w:rsidR="00D23200" w:rsidRDefault="00D23200" w:rsidP="008C6174">
            <w:pPr>
              <w:pStyle w:val="wTableNormal"/>
              <w:jc w:val="center"/>
            </w:pPr>
            <w:r>
              <w:t>$98,000</w:t>
            </w:r>
          </w:p>
        </w:tc>
      </w:tr>
    </w:tbl>
    <w:p w14:paraId="7B5979F5" w14:textId="77777777" w:rsidR="00C42DAB" w:rsidRPr="0099630E" w:rsidRDefault="00C42DAB" w:rsidP="001C0D7A">
      <w:pPr>
        <w:pStyle w:val="Heading2"/>
        <w:rPr>
          <w:sz w:val="22"/>
          <w:szCs w:val="22"/>
        </w:rPr>
      </w:pPr>
      <w:bookmarkStart w:id="157" w:name="_Toc48025278"/>
      <w:bookmarkStart w:id="158" w:name="_Toc404357227"/>
      <w:r w:rsidRPr="0099630E">
        <w:t>Distributions</w:t>
      </w:r>
      <w:bookmarkEnd w:id="157"/>
      <w:bookmarkEnd w:id="158"/>
    </w:p>
    <w:p w14:paraId="32A8A8C3" w14:textId="77777777" w:rsidR="00531D1E" w:rsidRDefault="00531D1E" w:rsidP="00825E0B">
      <w:pPr>
        <w:rPr>
          <w:szCs w:val="22"/>
        </w:rPr>
      </w:pPr>
      <w:r>
        <w:rPr>
          <w:szCs w:val="22"/>
        </w:rPr>
        <w:t>When examining SEP contributions, it is important to bear in mind that a SEP is simply an IRA to which higher contribution levels than those available in a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are permitted.</w:t>
      </w:r>
      <w:r w:rsidR="00297ACB">
        <w:rPr>
          <w:szCs w:val="22"/>
        </w:rPr>
        <w:t xml:space="preserve"> </w:t>
      </w:r>
      <w:r>
        <w:rPr>
          <w:szCs w:val="22"/>
        </w:rPr>
        <w:t>That fundamental identity as an IRA is also important to an understanding of SEP distributions.</w:t>
      </w:r>
    </w:p>
    <w:p w14:paraId="0B5F04F4" w14:textId="77777777" w:rsidR="00531D1E" w:rsidRDefault="00E17C80" w:rsidP="00825E0B">
      <w:pPr>
        <w:rPr>
          <w:szCs w:val="22"/>
        </w:rPr>
      </w:pPr>
      <w:r>
        <w:rPr>
          <w:szCs w:val="22"/>
        </w:rPr>
        <w:t>When we talk about SEP distributions, we need to examine:</w:t>
      </w:r>
    </w:p>
    <w:p w14:paraId="574DBC63" w14:textId="77777777" w:rsidR="00E17C80" w:rsidRPr="00570F1C" w:rsidRDefault="00E17C80" w:rsidP="007A5E54">
      <w:pPr>
        <w:numPr>
          <w:ilvl w:val="0"/>
          <w:numId w:val="28"/>
        </w:numPr>
        <w:contextualSpacing/>
      </w:pPr>
      <w:r w:rsidRPr="00570F1C">
        <w:t>Regular distributions</w:t>
      </w:r>
      <w:r w:rsidR="00782865">
        <w:t>;</w:t>
      </w:r>
    </w:p>
    <w:p w14:paraId="5C410133" w14:textId="77777777" w:rsidR="00E17C80" w:rsidRPr="00570F1C" w:rsidRDefault="00E17C80" w:rsidP="007A5E54">
      <w:pPr>
        <w:numPr>
          <w:ilvl w:val="0"/>
          <w:numId w:val="28"/>
        </w:numPr>
        <w:contextualSpacing/>
      </w:pPr>
      <w:r w:rsidRPr="00570F1C">
        <w:lastRenderedPageBreak/>
        <w:t>Premature distributions</w:t>
      </w:r>
      <w:r w:rsidR="00782865">
        <w:t>;</w:t>
      </w:r>
      <w:r w:rsidR="00570F1C" w:rsidRPr="00570F1C">
        <w:t xml:space="preserve"> </w:t>
      </w:r>
      <w:r w:rsidRPr="00570F1C">
        <w:t>and</w:t>
      </w:r>
    </w:p>
    <w:p w14:paraId="44D7D632" w14:textId="77777777" w:rsidR="00E17C80" w:rsidRPr="00570F1C" w:rsidRDefault="00E17C80" w:rsidP="007A5E54">
      <w:pPr>
        <w:numPr>
          <w:ilvl w:val="0"/>
          <w:numId w:val="28"/>
        </w:numPr>
      </w:pPr>
      <w:r w:rsidRPr="00570F1C">
        <w:t>Required minimum distributions</w:t>
      </w:r>
      <w:r w:rsidR="00782865">
        <w:t>.</w:t>
      </w:r>
    </w:p>
    <w:p w14:paraId="27411FBF" w14:textId="77777777" w:rsidR="00BD4D86" w:rsidRDefault="00BD4D86" w:rsidP="00825E0B">
      <w:pPr>
        <w:rPr>
          <w:szCs w:val="22"/>
        </w:rPr>
      </w:pPr>
      <w:r>
        <w:rPr>
          <w:szCs w:val="22"/>
        </w:rPr>
        <w:t>Let’s consider each of these types of distribution.</w:t>
      </w:r>
    </w:p>
    <w:p w14:paraId="086BA53A" w14:textId="77777777" w:rsidR="00BD4D86" w:rsidRDefault="00BD4D86" w:rsidP="00BD4D86">
      <w:pPr>
        <w:pStyle w:val="Heading3"/>
      </w:pPr>
      <w:bookmarkStart w:id="159" w:name="_Toc404357228"/>
      <w:r>
        <w:t>Regular Distributions</w:t>
      </w:r>
      <w:bookmarkEnd w:id="159"/>
    </w:p>
    <w:p w14:paraId="24AE5672" w14:textId="77777777" w:rsidR="00E17C80" w:rsidRDefault="00E17C80" w:rsidP="00825E0B">
      <w:pPr>
        <w:rPr>
          <w:szCs w:val="22"/>
        </w:rPr>
      </w:pPr>
      <w:r>
        <w:rPr>
          <w:szCs w:val="22"/>
        </w:rPr>
        <w:t>As we have noted several times, a SEP is simply an IRA.</w:t>
      </w:r>
      <w:r w:rsidR="00297ACB">
        <w:rPr>
          <w:szCs w:val="22"/>
        </w:rPr>
        <w:t xml:space="preserve"> </w:t>
      </w:r>
      <w:r>
        <w:rPr>
          <w:szCs w:val="22"/>
        </w:rPr>
        <w:t>An IRA is a personal, tax-favored savings plan designed to provide a benefit at retirement.</w:t>
      </w:r>
      <w:r w:rsidR="00297ACB">
        <w:rPr>
          <w:szCs w:val="22"/>
        </w:rPr>
        <w:t xml:space="preserve"> </w:t>
      </w:r>
      <w:r w:rsidR="007B63A0">
        <w:rPr>
          <w:szCs w:val="22"/>
        </w:rPr>
        <w:t>As a plan designed to provide benefits at retirement, regular distributions are generally expected to begin no earlier than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sidR="007B63A0">
        <w:rPr>
          <w:szCs w:val="22"/>
        </w:rPr>
        <w:t>.</w:t>
      </w:r>
    </w:p>
    <w:p w14:paraId="4F372BFB" w14:textId="77777777" w:rsidR="007B63A0" w:rsidRDefault="007B63A0" w:rsidP="00825E0B">
      <w:pPr>
        <w:rPr>
          <w:szCs w:val="22"/>
        </w:rPr>
      </w:pPr>
      <w:r>
        <w:rPr>
          <w:szCs w:val="22"/>
        </w:rPr>
        <w:t xml:space="preserve">Distributions from a SEP that are attributable to </w:t>
      </w:r>
      <w:r w:rsidR="008859DA">
        <w:rPr>
          <w:szCs w:val="22"/>
        </w:rPr>
        <w:t xml:space="preserve">plan </w:t>
      </w:r>
      <w:r>
        <w:rPr>
          <w:szCs w:val="22"/>
        </w:rPr>
        <w:t>earnings, employer contributions or tax-deductible employee contributions are taxable as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Pr>
          <w:szCs w:val="22"/>
        </w:rPr>
        <w:t xml:space="preserve"> in the year distributed.</w:t>
      </w:r>
      <w:r w:rsidR="00297ACB">
        <w:rPr>
          <w:szCs w:val="22"/>
        </w:rPr>
        <w:t xml:space="preserve"> </w:t>
      </w:r>
      <w:r>
        <w:rPr>
          <w:szCs w:val="22"/>
        </w:rPr>
        <w:t>Any character of the earnings on the underlying asset as capital gains</w:t>
      </w:r>
      <w:r w:rsidR="00A95039">
        <w:rPr>
          <w:szCs w:val="22"/>
        </w:rPr>
        <w:fldChar w:fldCharType="begin"/>
      </w:r>
      <w:r w:rsidR="00293611">
        <w:instrText xml:space="preserve"> XE "</w:instrText>
      </w:r>
      <w:r w:rsidR="00293611" w:rsidRPr="00CD56BD">
        <w:rPr>
          <w:szCs w:val="22"/>
        </w:rPr>
        <w:instrText>capital gains</w:instrText>
      </w:r>
      <w:r w:rsidR="00293611">
        <w:instrText xml:space="preserve">" </w:instrText>
      </w:r>
      <w:r w:rsidR="00A95039">
        <w:rPr>
          <w:szCs w:val="22"/>
        </w:rPr>
        <w:fldChar w:fldCharType="end"/>
      </w:r>
      <w:r>
        <w:rPr>
          <w:szCs w:val="22"/>
        </w:rPr>
        <w:t xml:space="preserve"> is lost.</w:t>
      </w:r>
    </w:p>
    <w:p w14:paraId="129F0A7D" w14:textId="77777777" w:rsidR="006745D2" w:rsidRDefault="007B63A0" w:rsidP="00825E0B">
      <w:pPr>
        <w:rPr>
          <w:szCs w:val="22"/>
        </w:rPr>
      </w:pPr>
      <w:r>
        <w:rPr>
          <w:szCs w:val="22"/>
        </w:rPr>
        <w:t>Non-deductible contributions</w:t>
      </w:r>
      <w:r w:rsidR="00A95039">
        <w:rPr>
          <w:szCs w:val="22"/>
        </w:rPr>
        <w:fldChar w:fldCharType="begin"/>
      </w:r>
      <w:r w:rsidR="00500F1D">
        <w:instrText xml:space="preserve"> XE "</w:instrText>
      </w:r>
      <w:r w:rsidR="00500F1D" w:rsidRPr="00CD56BD">
        <w:rPr>
          <w:szCs w:val="22"/>
        </w:rPr>
        <w:instrText>Non-deductible IRA contributions</w:instrText>
      </w:r>
      <w:r w:rsidR="00500F1D">
        <w:instrText xml:space="preserve">" </w:instrText>
      </w:r>
      <w:r w:rsidR="00A95039">
        <w:rPr>
          <w:szCs w:val="22"/>
        </w:rPr>
        <w:fldChar w:fldCharType="end"/>
      </w:r>
      <w:r>
        <w:rPr>
          <w:szCs w:val="22"/>
        </w:rPr>
        <w:t xml:space="preserve"> are recovered tax free by the employee </w:t>
      </w:r>
      <w:r w:rsidR="00D23200">
        <w:rPr>
          <w:szCs w:val="22"/>
        </w:rPr>
        <w:t xml:space="preserve">in a distribution </w:t>
      </w:r>
      <w:r>
        <w:rPr>
          <w:szCs w:val="22"/>
        </w:rPr>
        <w:t>as an investment in the contract.</w:t>
      </w:r>
      <w:r w:rsidR="00297ACB">
        <w:rPr>
          <w:szCs w:val="22"/>
        </w:rPr>
        <w:t xml:space="preserve"> </w:t>
      </w:r>
      <w:r w:rsidR="006745D2">
        <w:rPr>
          <w:szCs w:val="22"/>
        </w:rPr>
        <w:t>Determining the amount recovered tax-free requires a calculation similar to an annuity exclusion ratio calculation.</w:t>
      </w:r>
    </w:p>
    <w:p w14:paraId="7A6209C4" w14:textId="77777777" w:rsidR="007B63A0" w:rsidRDefault="007B63A0" w:rsidP="00825E0B">
      <w:pPr>
        <w:rPr>
          <w:szCs w:val="22"/>
        </w:rPr>
      </w:pPr>
      <w:r>
        <w:rPr>
          <w:szCs w:val="22"/>
        </w:rPr>
        <w:t>The formula for calculating the portion of a SEP distribution that is excludable from income as being attributable to non-deductible contributions is as follows:</w:t>
      </w:r>
    </w:p>
    <w:tbl>
      <w:tblPr>
        <w:tblW w:w="9284" w:type="dxa"/>
        <w:jc w:val="center"/>
        <w:tblLook w:val="01E0" w:firstRow="1" w:lastRow="1" w:firstColumn="1" w:lastColumn="1" w:noHBand="0" w:noVBand="0"/>
      </w:tblPr>
      <w:tblGrid>
        <w:gridCol w:w="4290"/>
        <w:gridCol w:w="330"/>
        <w:gridCol w:w="2088"/>
        <w:gridCol w:w="333"/>
        <w:gridCol w:w="2243"/>
      </w:tblGrid>
      <w:tr w:rsidR="00463B0B" w:rsidRPr="006D389B" w14:paraId="67DF54B8" w14:textId="77777777" w:rsidTr="006D389B">
        <w:trPr>
          <w:jc w:val="center"/>
        </w:trPr>
        <w:tc>
          <w:tcPr>
            <w:tcW w:w="4290" w:type="dxa"/>
          </w:tcPr>
          <w:p w14:paraId="1E1D926D" w14:textId="77777777" w:rsidR="00463B0B" w:rsidRPr="006D389B" w:rsidRDefault="00463B0B" w:rsidP="006D389B">
            <w:pPr>
              <w:pStyle w:val="wTableNormal"/>
              <w:jc w:val="center"/>
              <w:rPr>
                <w:u w:val="single"/>
              </w:rPr>
            </w:pPr>
            <w:r w:rsidRPr="006D389B">
              <w:rPr>
                <w:u w:val="single"/>
              </w:rPr>
              <w:t>Unrecovered non-deductible contributions</w:t>
            </w:r>
          </w:p>
          <w:p w14:paraId="6F871A90" w14:textId="77777777" w:rsidR="00463B0B" w:rsidRPr="00CD702C" w:rsidRDefault="00463B0B" w:rsidP="006D389B">
            <w:pPr>
              <w:pStyle w:val="wTableNormal"/>
              <w:jc w:val="center"/>
            </w:pPr>
            <w:r w:rsidRPr="00CD702C">
              <w:t>Total SEP balance + Distribution amount</w:t>
            </w:r>
          </w:p>
        </w:tc>
        <w:tc>
          <w:tcPr>
            <w:tcW w:w="330" w:type="dxa"/>
          </w:tcPr>
          <w:p w14:paraId="2D1304A5" w14:textId="77777777" w:rsidR="00463B0B" w:rsidRPr="00CD702C" w:rsidRDefault="00570F1C" w:rsidP="006D389B">
            <w:pPr>
              <w:pStyle w:val="wTableNormal"/>
              <w:spacing w:before="80"/>
              <w:jc w:val="center"/>
            </w:pPr>
            <w:r>
              <w:t>x</w:t>
            </w:r>
          </w:p>
        </w:tc>
        <w:tc>
          <w:tcPr>
            <w:tcW w:w="2088" w:type="dxa"/>
          </w:tcPr>
          <w:p w14:paraId="4DA5EB02" w14:textId="77777777" w:rsidR="00463B0B" w:rsidRPr="00CD702C" w:rsidRDefault="00463B0B" w:rsidP="006D389B">
            <w:pPr>
              <w:pStyle w:val="wTableNormal"/>
              <w:spacing w:before="80"/>
              <w:jc w:val="center"/>
            </w:pPr>
            <w:r w:rsidRPr="00CD702C">
              <w:t>Distribution amount</w:t>
            </w:r>
          </w:p>
        </w:tc>
        <w:tc>
          <w:tcPr>
            <w:tcW w:w="333" w:type="dxa"/>
          </w:tcPr>
          <w:p w14:paraId="713586FD" w14:textId="77777777" w:rsidR="00463B0B" w:rsidRPr="00CD702C" w:rsidRDefault="00463B0B" w:rsidP="006D389B">
            <w:pPr>
              <w:pStyle w:val="wTableNormal"/>
              <w:spacing w:before="80"/>
              <w:jc w:val="center"/>
            </w:pPr>
            <w:r w:rsidRPr="00CD702C">
              <w:t>=</w:t>
            </w:r>
          </w:p>
        </w:tc>
        <w:tc>
          <w:tcPr>
            <w:tcW w:w="2243" w:type="dxa"/>
          </w:tcPr>
          <w:p w14:paraId="2D887AE4" w14:textId="77777777" w:rsidR="00463B0B" w:rsidRPr="00CD702C" w:rsidRDefault="00463B0B" w:rsidP="006D389B">
            <w:pPr>
              <w:pStyle w:val="wTableNormal"/>
              <w:spacing w:before="80"/>
              <w:jc w:val="center"/>
            </w:pPr>
            <w:r w:rsidRPr="00CD702C">
              <w:t>Tax-free portion of distribution</w:t>
            </w:r>
          </w:p>
        </w:tc>
      </w:tr>
    </w:tbl>
    <w:p w14:paraId="7DC1F327" w14:textId="77777777" w:rsidR="006745D2" w:rsidRDefault="00463B0B" w:rsidP="00BA271D">
      <w:pPr>
        <w:spacing w:before="120"/>
        <w:rPr>
          <w:szCs w:val="22"/>
        </w:rPr>
      </w:pPr>
      <w:r>
        <w:rPr>
          <w:szCs w:val="22"/>
        </w:rPr>
        <w:t>If the employee had made a total of $10,000 of non-deductible contributions to the SEP and took a $5,000 distribution from it during the year, leaving a total SEP balance at year-end of $95,000, the tax-free portion of the</w:t>
      </w:r>
      <w:r w:rsidR="006745D2">
        <w:rPr>
          <w:szCs w:val="22"/>
        </w:rPr>
        <w:t xml:space="preserve"> distribution would be $500, as shown in the calculation below:</w:t>
      </w:r>
    </w:p>
    <w:tbl>
      <w:tblPr>
        <w:tblW w:w="0" w:type="auto"/>
        <w:jc w:val="center"/>
        <w:tblLook w:val="01E0" w:firstRow="1" w:lastRow="1" w:firstColumn="1" w:lastColumn="1" w:noHBand="0" w:noVBand="0"/>
      </w:tblPr>
      <w:tblGrid>
        <w:gridCol w:w="1944"/>
        <w:gridCol w:w="410"/>
        <w:gridCol w:w="968"/>
        <w:gridCol w:w="333"/>
        <w:gridCol w:w="687"/>
      </w:tblGrid>
      <w:tr w:rsidR="006745D2" w14:paraId="5EA8DA47" w14:textId="77777777" w:rsidTr="006D389B">
        <w:trPr>
          <w:trHeight w:val="458"/>
          <w:jc w:val="center"/>
        </w:trPr>
        <w:tc>
          <w:tcPr>
            <w:tcW w:w="1944" w:type="dxa"/>
          </w:tcPr>
          <w:p w14:paraId="149A16FB" w14:textId="77777777" w:rsidR="006745D2" w:rsidRPr="006D389B" w:rsidRDefault="006745D2" w:rsidP="006D389B">
            <w:pPr>
              <w:pStyle w:val="wTableNormal"/>
              <w:jc w:val="center"/>
              <w:rPr>
                <w:u w:val="single"/>
              </w:rPr>
            </w:pPr>
            <w:r w:rsidRPr="006D389B">
              <w:rPr>
                <w:u w:val="single"/>
              </w:rPr>
              <w:t>$10,000</w:t>
            </w:r>
          </w:p>
          <w:p w14:paraId="76705FBD" w14:textId="77777777" w:rsidR="006745D2" w:rsidRPr="00CD702C" w:rsidRDefault="006745D2" w:rsidP="006D389B">
            <w:pPr>
              <w:pStyle w:val="wTableNormal"/>
              <w:jc w:val="center"/>
            </w:pPr>
            <w:r w:rsidRPr="00CD702C">
              <w:t>($95,000 + $5,000)</w:t>
            </w:r>
          </w:p>
        </w:tc>
        <w:tc>
          <w:tcPr>
            <w:tcW w:w="410" w:type="dxa"/>
          </w:tcPr>
          <w:p w14:paraId="5015DD94" w14:textId="77777777" w:rsidR="006745D2" w:rsidRPr="00CD702C" w:rsidRDefault="00FB7FC2" w:rsidP="006D389B">
            <w:pPr>
              <w:pStyle w:val="wTableNormal"/>
              <w:spacing w:before="160"/>
              <w:jc w:val="center"/>
            </w:pPr>
            <w:r>
              <w:t>X</w:t>
            </w:r>
          </w:p>
        </w:tc>
        <w:tc>
          <w:tcPr>
            <w:tcW w:w="968" w:type="dxa"/>
          </w:tcPr>
          <w:p w14:paraId="71E263C9" w14:textId="77777777" w:rsidR="006745D2" w:rsidRPr="00CD702C" w:rsidRDefault="006745D2" w:rsidP="006D389B">
            <w:pPr>
              <w:pStyle w:val="wTableNormal"/>
              <w:spacing w:before="160"/>
              <w:jc w:val="center"/>
            </w:pPr>
            <w:r w:rsidRPr="00CD702C">
              <w:t>$5,000</w:t>
            </w:r>
          </w:p>
        </w:tc>
        <w:tc>
          <w:tcPr>
            <w:tcW w:w="333" w:type="dxa"/>
          </w:tcPr>
          <w:p w14:paraId="151AFAE0" w14:textId="77777777" w:rsidR="006745D2" w:rsidRPr="00CD702C" w:rsidRDefault="006745D2" w:rsidP="006D389B">
            <w:pPr>
              <w:pStyle w:val="wTableNormal"/>
              <w:spacing w:before="160"/>
              <w:jc w:val="center"/>
            </w:pPr>
            <w:r w:rsidRPr="00CD702C">
              <w:t>=</w:t>
            </w:r>
          </w:p>
        </w:tc>
        <w:tc>
          <w:tcPr>
            <w:tcW w:w="687" w:type="dxa"/>
          </w:tcPr>
          <w:p w14:paraId="471729BC" w14:textId="77777777" w:rsidR="006745D2" w:rsidRPr="00CD702C" w:rsidRDefault="006745D2" w:rsidP="006D389B">
            <w:pPr>
              <w:pStyle w:val="wTableNormal"/>
              <w:spacing w:before="160"/>
              <w:jc w:val="center"/>
            </w:pPr>
            <w:r w:rsidRPr="00CD702C">
              <w:t>$500</w:t>
            </w:r>
          </w:p>
        </w:tc>
      </w:tr>
    </w:tbl>
    <w:p w14:paraId="0ECAAC7D" w14:textId="77777777" w:rsidR="005D116F" w:rsidRDefault="00330BC0">
      <w:pPr>
        <w:spacing w:before="120"/>
      </w:pPr>
      <w:r>
        <w:t>The balance of the distribution, i.e. $4,500, would be taxable as ordinary income.</w:t>
      </w:r>
    </w:p>
    <w:p w14:paraId="1047F0F5" w14:textId="77777777" w:rsidR="00BD4D86" w:rsidRDefault="00BD4D86" w:rsidP="00BD4D86">
      <w:pPr>
        <w:pStyle w:val="Heading3"/>
      </w:pPr>
      <w:bookmarkStart w:id="160" w:name="_Toc404357229"/>
      <w:r>
        <w:t>Premature Distributions</w:t>
      </w:r>
      <w:bookmarkEnd w:id="160"/>
    </w:p>
    <w:p w14:paraId="32F3ADAA" w14:textId="77777777" w:rsidR="002B3C2C" w:rsidRDefault="006745D2" w:rsidP="00BA271D">
      <w:pPr>
        <w:spacing w:before="120"/>
        <w:rPr>
          <w:szCs w:val="22"/>
        </w:rPr>
      </w:pPr>
      <w:r>
        <w:rPr>
          <w:szCs w:val="22"/>
        </w:rPr>
        <w:t>Not all distributions are made after the individual attains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however.</w:t>
      </w:r>
      <w:r w:rsidR="00297ACB">
        <w:rPr>
          <w:szCs w:val="22"/>
        </w:rPr>
        <w:t xml:space="preserve"> </w:t>
      </w:r>
      <w:r w:rsidR="002B3C2C">
        <w:rPr>
          <w:szCs w:val="22"/>
        </w:rPr>
        <w:t>Distributions from a SEP that are made before the employee reaches age 59½ are considered premature distributions</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sidR="002B3C2C">
        <w:rPr>
          <w:szCs w:val="22"/>
        </w:rPr>
        <w:t xml:space="preserve"> and subject to a 10 percent tax penalty unless one of several exceptions applies.</w:t>
      </w:r>
      <w:r w:rsidR="00297ACB">
        <w:rPr>
          <w:szCs w:val="22"/>
        </w:rPr>
        <w:t xml:space="preserve"> </w:t>
      </w:r>
      <w:r w:rsidR="002B3C2C">
        <w:rPr>
          <w:szCs w:val="22"/>
        </w:rPr>
        <w:t xml:space="preserve">The 10 percent tax penalty for premature withdrawals is levied against the amount of the distribution </w:t>
      </w:r>
      <w:r w:rsidR="002B3C2C">
        <w:rPr>
          <w:i/>
          <w:szCs w:val="22"/>
        </w:rPr>
        <w:t>that is includible in the recipient’s income</w:t>
      </w:r>
      <w:r w:rsidR="002B3C2C">
        <w:rPr>
          <w:szCs w:val="22"/>
        </w:rPr>
        <w:t>.</w:t>
      </w:r>
    </w:p>
    <w:p w14:paraId="495A113F" w14:textId="77777777" w:rsidR="0051242B" w:rsidRDefault="002B3C2C" w:rsidP="00825E0B">
      <w:pPr>
        <w:rPr>
          <w:szCs w:val="22"/>
        </w:rPr>
      </w:pPr>
      <w:r>
        <w:rPr>
          <w:szCs w:val="22"/>
        </w:rPr>
        <w:t>The pre-age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 SEP distributions that avoid the premature withdrawal tax penalty are distributions that are</w:t>
      </w:r>
      <w:r w:rsidR="0051242B">
        <w:rPr>
          <w:szCs w:val="22"/>
        </w:rPr>
        <w:t xml:space="preserve"> part of a series of substantially equal periodic payments</w:t>
      </w:r>
      <w:r w:rsidR="00A95039">
        <w:rPr>
          <w:szCs w:val="22"/>
        </w:rPr>
        <w:fldChar w:fldCharType="begin"/>
      </w:r>
      <w:r w:rsidR="00293611">
        <w:instrText xml:space="preserve"> XE "</w:instrText>
      </w:r>
      <w:r w:rsidR="00293611" w:rsidRPr="00CD56BD">
        <w:instrText>series of substantially equal periodic payments</w:instrText>
      </w:r>
      <w:r w:rsidR="00293611">
        <w:instrText xml:space="preserve">" </w:instrText>
      </w:r>
      <w:r w:rsidR="00A95039">
        <w:rPr>
          <w:szCs w:val="22"/>
        </w:rPr>
        <w:fldChar w:fldCharType="end"/>
      </w:r>
      <w:r w:rsidR="0051242B">
        <w:rPr>
          <w:szCs w:val="22"/>
        </w:rPr>
        <w:t xml:space="preserve"> made for the life of the owner or the joint life of the owner and a designated beneficiary or are made</w:t>
      </w:r>
      <w:r>
        <w:rPr>
          <w:szCs w:val="22"/>
        </w:rPr>
        <w:t>:</w:t>
      </w:r>
    </w:p>
    <w:p w14:paraId="1F548A76" w14:textId="77777777" w:rsidR="008D62EF" w:rsidRPr="008D62EF" w:rsidRDefault="008D62EF" w:rsidP="007A5E54">
      <w:pPr>
        <w:numPr>
          <w:ilvl w:val="0"/>
          <w:numId w:val="29"/>
        </w:numPr>
        <w:contextualSpacing/>
      </w:pPr>
      <w:r w:rsidRPr="008D62EF">
        <w:t>After the owner’s death</w:t>
      </w:r>
      <w:r w:rsidR="00782865">
        <w:t>;</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p>
    <w:p w14:paraId="09508BEA" w14:textId="77777777" w:rsidR="008D62EF" w:rsidRPr="008D62EF" w:rsidRDefault="008D62EF" w:rsidP="007A5E54">
      <w:pPr>
        <w:numPr>
          <w:ilvl w:val="0"/>
          <w:numId w:val="29"/>
        </w:numPr>
        <w:contextualSpacing/>
      </w:pPr>
      <w:r w:rsidRPr="008D62EF">
        <w:t>Attributable to the owner’s disability</w:t>
      </w:r>
      <w:r w:rsidR="00A95039">
        <w:fldChar w:fldCharType="begin"/>
      </w:r>
      <w:r w:rsidR="00293611">
        <w:instrText xml:space="preserve"> XE "</w:instrText>
      </w:r>
      <w:r w:rsidR="00293611" w:rsidRPr="00CD56BD">
        <w:instrText>disability</w:instrText>
      </w:r>
      <w:r w:rsidR="00293611">
        <w:instrText xml:space="preserve">" </w:instrText>
      </w:r>
      <w:r w:rsidR="00A95039">
        <w:fldChar w:fldCharType="end"/>
      </w:r>
      <w:r w:rsidR="00782865">
        <w:t>;</w:t>
      </w:r>
    </w:p>
    <w:p w14:paraId="72144893" w14:textId="77777777" w:rsidR="008D62EF" w:rsidRPr="008D62EF" w:rsidRDefault="008D62EF" w:rsidP="007A5E54">
      <w:pPr>
        <w:numPr>
          <w:ilvl w:val="0"/>
          <w:numId w:val="29"/>
        </w:numPr>
        <w:contextualSpacing/>
      </w:pPr>
      <w:r w:rsidRPr="008D62EF">
        <w:t>For payment of health insurance premiums</w:t>
      </w:r>
      <w:r w:rsidR="00A95039">
        <w:fldChar w:fldCharType="begin"/>
      </w:r>
      <w:r w:rsidR="00293611">
        <w:instrText xml:space="preserve"> XE "</w:instrText>
      </w:r>
      <w:r w:rsidR="00293611" w:rsidRPr="00CD56BD">
        <w:instrText>health insurance premiums</w:instrText>
      </w:r>
      <w:r w:rsidR="00293611">
        <w:instrText xml:space="preserve">" </w:instrText>
      </w:r>
      <w:r w:rsidR="00A95039">
        <w:fldChar w:fldCharType="end"/>
      </w:r>
      <w:r w:rsidRPr="008D62EF">
        <w:t xml:space="preserve"> by an unemployed owner</w:t>
      </w:r>
      <w:r w:rsidR="00782865">
        <w:t>;</w:t>
      </w:r>
    </w:p>
    <w:p w14:paraId="0F3134EE" w14:textId="77777777" w:rsidR="008D62EF" w:rsidRPr="008D62EF" w:rsidRDefault="008D62EF" w:rsidP="007A5E54">
      <w:pPr>
        <w:numPr>
          <w:ilvl w:val="0"/>
          <w:numId w:val="29"/>
        </w:numPr>
        <w:contextualSpacing/>
      </w:pPr>
      <w:r w:rsidRPr="008D62EF">
        <w:t>For payment of qualified higher education expenses</w:t>
      </w:r>
      <w:r w:rsidR="00782865">
        <w:t>;</w:t>
      </w:r>
      <w:r w:rsidR="00A95039">
        <w:fldChar w:fldCharType="begin"/>
      </w:r>
      <w:r w:rsidR="00293611">
        <w:instrText xml:space="preserve"> XE "</w:instrText>
      </w:r>
      <w:r w:rsidR="00293611" w:rsidRPr="00CD56BD">
        <w:instrText>qualified higher education expenses</w:instrText>
      </w:r>
      <w:r w:rsidR="00293611">
        <w:instrText xml:space="preserve">" </w:instrText>
      </w:r>
      <w:r w:rsidR="00A95039">
        <w:fldChar w:fldCharType="end"/>
      </w:r>
    </w:p>
    <w:p w14:paraId="6DC835F2" w14:textId="77777777" w:rsidR="008D62EF" w:rsidRPr="008D62EF" w:rsidRDefault="008D62EF" w:rsidP="007A5E54">
      <w:pPr>
        <w:numPr>
          <w:ilvl w:val="0"/>
          <w:numId w:val="29"/>
        </w:numPr>
        <w:contextualSpacing/>
      </w:pPr>
      <w:r w:rsidRPr="008D62EF">
        <w:t>For medical care</w:t>
      </w:r>
      <w:r w:rsidR="00A95039">
        <w:fldChar w:fldCharType="begin"/>
      </w:r>
      <w:r w:rsidR="00293611">
        <w:instrText xml:space="preserve"> XE "</w:instrText>
      </w:r>
      <w:r w:rsidR="00293611" w:rsidRPr="00CD56BD">
        <w:instrText>medical care</w:instrText>
      </w:r>
      <w:r w:rsidR="00293611">
        <w:instrText xml:space="preserve">" </w:instrText>
      </w:r>
      <w:r w:rsidR="00A95039">
        <w:fldChar w:fldCharType="end"/>
      </w:r>
      <w:r w:rsidRPr="008D62EF">
        <w:t xml:space="preserve"> to the extent deductible as a medical expense</w:t>
      </w:r>
      <w:r w:rsidR="00782865">
        <w:t>; or</w:t>
      </w:r>
    </w:p>
    <w:p w14:paraId="34CA7A8D" w14:textId="77777777" w:rsidR="008D62EF" w:rsidRPr="008D62EF" w:rsidRDefault="008D62EF" w:rsidP="007A5E54">
      <w:pPr>
        <w:numPr>
          <w:ilvl w:val="0"/>
          <w:numId w:val="29"/>
        </w:numPr>
        <w:contextualSpacing/>
      </w:pPr>
      <w:r w:rsidRPr="008D62EF">
        <w:t>For the purchase of a first home (up to a $10,000 lifetime limit)</w:t>
      </w:r>
      <w:r w:rsidR="00782865">
        <w:t>.</w:t>
      </w:r>
    </w:p>
    <w:p w14:paraId="56CC53F4" w14:textId="77777777" w:rsidR="00AA3823" w:rsidRDefault="00AA3823" w:rsidP="00AA3823">
      <w:pPr>
        <w:pStyle w:val="Heading3"/>
      </w:pPr>
      <w:bookmarkStart w:id="161" w:name="_Toc404357230"/>
      <w:r>
        <w:lastRenderedPageBreak/>
        <w:t>Required Minimum Distributions</w:t>
      </w:r>
      <w:bookmarkEnd w:id="161"/>
    </w:p>
    <w:p w14:paraId="77BDA495" w14:textId="77777777" w:rsidR="00E24F7D" w:rsidRDefault="00E24F7D" w:rsidP="00825E0B">
      <w:pPr>
        <w:rPr>
          <w:szCs w:val="22"/>
        </w:rPr>
      </w:pPr>
      <w:r w:rsidRPr="000B485C">
        <w:rPr>
          <w:szCs w:val="22"/>
        </w:rPr>
        <w:t>The I</w:t>
      </w:r>
      <w:r>
        <w:rPr>
          <w:szCs w:val="22"/>
        </w:rPr>
        <w:t>nternal Revenue Code</w:t>
      </w:r>
      <w:r w:rsidRPr="000B485C">
        <w:rPr>
          <w:szCs w:val="22"/>
        </w:rPr>
        <w:t xml:space="preserve"> requires that minimum distribut</w:t>
      </w:r>
      <w:r>
        <w:rPr>
          <w:szCs w:val="22"/>
        </w:rPr>
        <w:t>ions from a SEP begin no later than the employee’s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sidRPr="000B485C">
        <w:rPr>
          <w:szCs w:val="22"/>
        </w:rPr>
        <w:t>.</w:t>
      </w:r>
      <w:r w:rsidR="00297ACB">
        <w:rPr>
          <w:szCs w:val="22"/>
        </w:rPr>
        <w:t xml:space="preserve"> </w:t>
      </w:r>
      <w:r>
        <w:rPr>
          <w:szCs w:val="22"/>
        </w:rPr>
        <w:t>Although</w:t>
      </w:r>
      <w:r w:rsidRPr="000B485C">
        <w:rPr>
          <w:szCs w:val="22"/>
        </w:rPr>
        <w:t xml:space="preserve"> the </w:t>
      </w:r>
      <w:r>
        <w:rPr>
          <w:szCs w:val="22"/>
        </w:rPr>
        <w:t>employee may</w:t>
      </w:r>
      <w:r w:rsidRPr="000B485C">
        <w:rPr>
          <w:szCs w:val="22"/>
        </w:rPr>
        <w:t xml:space="preserve"> delay taking </w:t>
      </w:r>
      <w:r>
        <w:rPr>
          <w:szCs w:val="22"/>
        </w:rPr>
        <w:t>his or her first minimum required distribution</w:t>
      </w:r>
      <w:r w:rsidRPr="000B485C">
        <w:rPr>
          <w:szCs w:val="22"/>
        </w:rPr>
        <w:t xml:space="preserve"> until April 1</w:t>
      </w:r>
      <w:r w:rsidRPr="00AE44B4">
        <w:rPr>
          <w:szCs w:val="22"/>
          <w:vertAlign w:val="superscript"/>
        </w:rPr>
        <w:t>st</w:t>
      </w:r>
      <w:r>
        <w:rPr>
          <w:szCs w:val="22"/>
        </w:rPr>
        <w:t xml:space="preserve"> </w:t>
      </w:r>
      <w:r w:rsidRPr="000B485C">
        <w:rPr>
          <w:szCs w:val="22"/>
        </w:rPr>
        <w:t>of the year following the year in which he or she turns age 70</w:t>
      </w:r>
      <w:r>
        <w:rPr>
          <w:szCs w:val="22"/>
        </w:rPr>
        <w:t xml:space="preserve">½, i.e. the </w:t>
      </w:r>
      <w:r w:rsidR="00297ACB">
        <w:rPr>
          <w:szCs w:val="22"/>
        </w:rPr>
        <w:t>“</w:t>
      </w:r>
      <w:r>
        <w:rPr>
          <w:szCs w:val="22"/>
        </w:rPr>
        <w:t>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Pr>
          <w:szCs w:val="22"/>
        </w:rPr>
        <w:t>,</w:t>
      </w:r>
      <w:r w:rsidR="00297ACB">
        <w:rPr>
          <w:szCs w:val="22"/>
        </w:rPr>
        <w:t>”</w:t>
      </w:r>
      <w:r>
        <w:rPr>
          <w:szCs w:val="22"/>
        </w:rPr>
        <w:t xml:space="preserve"> </w:t>
      </w:r>
      <w:r w:rsidR="00141914">
        <w:rPr>
          <w:szCs w:val="22"/>
        </w:rPr>
        <w:t>doing so means that</w:t>
      </w:r>
      <w:r w:rsidRPr="000B485C">
        <w:rPr>
          <w:szCs w:val="22"/>
        </w:rPr>
        <w:t xml:space="preserve"> the </w:t>
      </w:r>
      <w:r w:rsidR="00141914">
        <w:rPr>
          <w:szCs w:val="22"/>
        </w:rPr>
        <w:t>employee</w:t>
      </w:r>
      <w:r w:rsidRPr="000B485C">
        <w:rPr>
          <w:szCs w:val="22"/>
        </w:rPr>
        <w:t xml:space="preserve"> must then take a second distribution by December 31</w:t>
      </w:r>
      <w:r w:rsidRPr="00AE44B4">
        <w:rPr>
          <w:szCs w:val="22"/>
          <w:vertAlign w:val="superscript"/>
        </w:rPr>
        <w:t>st</w:t>
      </w:r>
      <w:r>
        <w:rPr>
          <w:szCs w:val="22"/>
        </w:rPr>
        <w:t xml:space="preserve"> </w:t>
      </w:r>
      <w:r w:rsidRPr="000B485C">
        <w:rPr>
          <w:szCs w:val="22"/>
        </w:rPr>
        <w:t>of that same year.</w:t>
      </w:r>
      <w:r w:rsidR="00297ACB">
        <w:rPr>
          <w:szCs w:val="22"/>
        </w:rPr>
        <w:t xml:space="preserve"> </w:t>
      </w:r>
      <w:r w:rsidR="00141914">
        <w:rPr>
          <w:szCs w:val="22"/>
        </w:rPr>
        <w:t>Since this would cause</w:t>
      </w:r>
      <w:r w:rsidRPr="000B485C">
        <w:rPr>
          <w:szCs w:val="22"/>
        </w:rPr>
        <w:t xml:space="preserve"> two taxable distributions </w:t>
      </w:r>
      <w:r w:rsidR="00141914">
        <w:rPr>
          <w:szCs w:val="22"/>
        </w:rPr>
        <w:t>to</w:t>
      </w:r>
      <w:r w:rsidRPr="000B485C">
        <w:rPr>
          <w:szCs w:val="22"/>
        </w:rPr>
        <w:t xml:space="preserve"> occur </w:t>
      </w:r>
      <w:r w:rsidR="00141914">
        <w:rPr>
          <w:szCs w:val="22"/>
        </w:rPr>
        <w:t>in</w:t>
      </w:r>
      <w:r w:rsidRPr="000B485C">
        <w:rPr>
          <w:szCs w:val="22"/>
        </w:rPr>
        <w:t xml:space="preserve"> the same year</w:t>
      </w:r>
      <w:r w:rsidR="00141914">
        <w:rPr>
          <w:szCs w:val="22"/>
        </w:rPr>
        <w:t>, it is generally a better idea to take the initial required minimum distribution in the year in which the employee attains age 70½.</w:t>
      </w:r>
    </w:p>
    <w:p w14:paraId="415FEC61" w14:textId="77777777" w:rsidR="00141914" w:rsidRDefault="00141914" w:rsidP="00825E0B">
      <w:pPr>
        <w:rPr>
          <w:szCs w:val="22"/>
        </w:rPr>
      </w:pPr>
      <w:r>
        <w:rPr>
          <w:szCs w:val="22"/>
        </w:rPr>
        <w:t>Although a SEP is an employer-sponsored plan, the rules that govern required minimum 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Pr>
          <w:szCs w:val="22"/>
        </w:rPr>
        <w:t xml:space="preserve"> (</w:t>
      </w:r>
      <w:r w:rsidR="006C5D6E">
        <w:rPr>
          <w:szCs w:val="22"/>
        </w:rPr>
        <w:t>R</w:t>
      </w:r>
      <w:r w:rsidR="008859DA">
        <w:rPr>
          <w:szCs w:val="22"/>
        </w:rPr>
        <w:t>M</w:t>
      </w:r>
      <w:r w:rsidR="006C5D6E">
        <w:rPr>
          <w:szCs w:val="22"/>
        </w:rPr>
        <w:t>D</w:t>
      </w:r>
      <w:r>
        <w:rPr>
          <w:szCs w:val="22"/>
        </w:rPr>
        <w:t xml:space="preserve">s) from SEPs are the same as the rules that apply to </w:t>
      </w:r>
      <w:r w:rsidR="006C5D6E">
        <w:rPr>
          <w:szCs w:val="22"/>
        </w:rPr>
        <w:t>R</w:t>
      </w:r>
      <w:r w:rsidR="008859DA">
        <w:rPr>
          <w:szCs w:val="22"/>
        </w:rPr>
        <w:t>M</w:t>
      </w:r>
      <w:r w:rsidR="006C5D6E">
        <w:rPr>
          <w:szCs w:val="22"/>
        </w:rPr>
        <w:t>D</w:t>
      </w:r>
      <w:r>
        <w:rPr>
          <w:szCs w:val="22"/>
        </w:rPr>
        <w:t>s from traditional IRAs.</w:t>
      </w:r>
      <w:r w:rsidR="00297ACB">
        <w:rPr>
          <w:szCs w:val="22"/>
        </w:rPr>
        <w:t xml:space="preserve"> </w:t>
      </w:r>
      <w:r>
        <w:rPr>
          <w:szCs w:val="22"/>
        </w:rPr>
        <w:t>Specifically, required minimum distributions must begin from the SEP IRA when the employee becomes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 xml:space="preserve">, rather than on the </w:t>
      </w:r>
      <w:r>
        <w:rPr>
          <w:i/>
          <w:szCs w:val="22"/>
        </w:rPr>
        <w:t>later</w:t>
      </w:r>
      <w:r>
        <w:rPr>
          <w:szCs w:val="22"/>
        </w:rPr>
        <w:t xml:space="preserve"> of the employee’s reaching age 70½ or retiring.</w:t>
      </w:r>
    </w:p>
    <w:p w14:paraId="17FC0FA5" w14:textId="77777777" w:rsidR="008D62EF" w:rsidRDefault="00E24F7D" w:rsidP="005B6340">
      <w:pPr>
        <w:rPr>
          <w:szCs w:val="22"/>
        </w:rPr>
      </w:pPr>
      <w:r>
        <w:rPr>
          <w:szCs w:val="22"/>
        </w:rPr>
        <w:t>In general, t</w:t>
      </w:r>
      <w:r w:rsidRPr="000B485C">
        <w:rPr>
          <w:szCs w:val="22"/>
        </w:rPr>
        <w:t xml:space="preserve">he minimum required distribution is equal to the value of the </w:t>
      </w:r>
      <w:r w:rsidR="00141914">
        <w:rPr>
          <w:szCs w:val="22"/>
        </w:rPr>
        <w:t>employee’s SEP account</w:t>
      </w:r>
      <w:r>
        <w:rPr>
          <w:szCs w:val="22"/>
        </w:rPr>
        <w:t xml:space="preserve"> </w:t>
      </w:r>
      <w:r w:rsidRPr="000B485C">
        <w:rPr>
          <w:szCs w:val="22"/>
        </w:rPr>
        <w:t xml:space="preserve">divided by </w:t>
      </w:r>
      <w:r w:rsidR="00141914">
        <w:rPr>
          <w:szCs w:val="22"/>
        </w:rPr>
        <w:t>his or her</w:t>
      </w:r>
      <w:r w:rsidRPr="000B485C">
        <w:rPr>
          <w:szCs w:val="22"/>
        </w:rPr>
        <w:t xml:space="preserve"> remaining life expectancy.</w:t>
      </w:r>
      <w:r w:rsidR="00297ACB">
        <w:rPr>
          <w:szCs w:val="22"/>
        </w:rPr>
        <w:t xml:space="preserve"> </w:t>
      </w:r>
      <w:r w:rsidR="005B75C9">
        <w:rPr>
          <w:szCs w:val="22"/>
        </w:rPr>
        <w:t>The</w:t>
      </w:r>
      <w:r>
        <w:rPr>
          <w:szCs w:val="22"/>
        </w:rPr>
        <w:t xml:space="preserve"> </w:t>
      </w:r>
      <w:r w:rsidRPr="0099630E">
        <w:rPr>
          <w:szCs w:val="22"/>
        </w:rPr>
        <w:t>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governs lifetime required distributions by prescribing distribution periods depending on the age of the individual.</w:t>
      </w:r>
      <w:r w:rsidR="00297ACB">
        <w:rPr>
          <w:szCs w:val="22"/>
        </w:rPr>
        <w:t xml:space="preserve"> </w:t>
      </w:r>
      <w:r w:rsidR="005B75C9">
        <w:rPr>
          <w:szCs w:val="22"/>
        </w:rPr>
        <w:t>If the employee f</w:t>
      </w:r>
      <w:r w:rsidRPr="000B485C">
        <w:rPr>
          <w:szCs w:val="22"/>
        </w:rPr>
        <w:t>ail</w:t>
      </w:r>
      <w:r w:rsidR="005B75C9">
        <w:rPr>
          <w:szCs w:val="22"/>
        </w:rPr>
        <w:t>s</w:t>
      </w:r>
      <w:r w:rsidRPr="000B485C">
        <w:rPr>
          <w:szCs w:val="22"/>
        </w:rPr>
        <w:t xml:space="preserve"> </w:t>
      </w:r>
      <w:r>
        <w:rPr>
          <w:szCs w:val="22"/>
        </w:rPr>
        <w:t xml:space="preserve">to take a distribution at least equal to the </w:t>
      </w:r>
      <w:r w:rsidR="006C5D6E">
        <w:rPr>
          <w:szCs w:val="22"/>
        </w:rPr>
        <w:t>MRD</w:t>
      </w:r>
      <w:r>
        <w:rPr>
          <w:szCs w:val="22"/>
        </w:rPr>
        <w:t xml:space="preserve"> </w:t>
      </w:r>
      <w:r w:rsidR="005B75C9">
        <w:rPr>
          <w:szCs w:val="22"/>
        </w:rPr>
        <w:t>a tax penalty applies equal to</w:t>
      </w:r>
      <w:r w:rsidRPr="000B485C">
        <w:rPr>
          <w:szCs w:val="22"/>
        </w:rPr>
        <w:t xml:space="preserve"> 50</w:t>
      </w:r>
      <w:r>
        <w:rPr>
          <w:szCs w:val="22"/>
        </w:rPr>
        <w:t xml:space="preserve"> percent</w:t>
      </w:r>
      <w:r w:rsidRPr="000B485C">
        <w:rPr>
          <w:szCs w:val="22"/>
        </w:rPr>
        <w:t xml:space="preserve"> of the insufficiency.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56"/>
        <w:gridCol w:w="1540"/>
        <w:gridCol w:w="1309"/>
        <w:gridCol w:w="1794"/>
        <w:gridCol w:w="1256"/>
        <w:gridCol w:w="21"/>
        <w:gridCol w:w="1436"/>
      </w:tblGrid>
      <w:tr w:rsidR="008D62EF" w14:paraId="24FD821A" w14:textId="77777777" w:rsidTr="006D389B">
        <w:trPr>
          <w:trHeight w:val="330"/>
          <w:jc w:val="center"/>
        </w:trPr>
        <w:tc>
          <w:tcPr>
            <w:tcW w:w="8612" w:type="dxa"/>
            <w:gridSpan w:val="7"/>
            <w:tcBorders>
              <w:top w:val="single" w:sz="12" w:space="0" w:color="auto"/>
              <w:left w:val="single" w:sz="12" w:space="0" w:color="auto"/>
              <w:bottom w:val="single" w:sz="12" w:space="0" w:color="auto"/>
              <w:right w:val="single" w:sz="12" w:space="0" w:color="auto"/>
              <w:tl2br w:val="nil"/>
              <w:tr2bl w:val="nil"/>
            </w:tcBorders>
            <w:shd w:val="clear" w:color="auto" w:fill="E3F4FF"/>
          </w:tcPr>
          <w:p w14:paraId="3BF0EE94" w14:textId="77777777" w:rsidR="008D62EF" w:rsidRPr="005B6340" w:rsidRDefault="00F06597" w:rsidP="008D62EF">
            <w:pPr>
              <w:pStyle w:val="WTableHeaderChar"/>
            </w:pPr>
            <w:r>
              <w:rPr>
                <w:b w:val="0"/>
              </w:rPr>
              <w:br w:type="page"/>
            </w:r>
            <w:r w:rsidR="008D62EF" w:rsidRPr="005B6340">
              <w:t>Uniform Lifetime Table</w:t>
            </w:r>
            <w:r w:rsidR="00A95039">
              <w:fldChar w:fldCharType="begin"/>
            </w:r>
            <w:r w:rsidR="00293611">
              <w:instrText xml:space="preserve"> XE "</w:instrText>
            </w:r>
            <w:r w:rsidR="00293611" w:rsidRPr="006D389B">
              <w:rPr>
                <w:szCs w:val="22"/>
              </w:rPr>
              <w:instrText>Uniform Lifetime Table</w:instrText>
            </w:r>
            <w:r w:rsidR="00293611">
              <w:instrText xml:space="preserve">" </w:instrText>
            </w:r>
            <w:r w:rsidR="00A95039">
              <w:fldChar w:fldCharType="end"/>
            </w:r>
          </w:p>
        </w:tc>
      </w:tr>
      <w:tr w:rsidR="008D62EF" w:rsidRPr="006D389B" w14:paraId="54AAD795" w14:textId="77777777" w:rsidTr="006D389B">
        <w:trPr>
          <w:trHeight w:val="492"/>
          <w:jc w:val="center"/>
        </w:trPr>
        <w:tc>
          <w:tcPr>
            <w:tcW w:w="1256" w:type="dxa"/>
            <w:tcBorders>
              <w:bottom w:val="single" w:sz="6" w:space="0" w:color="auto"/>
              <w:right w:val="single" w:sz="6" w:space="0" w:color="auto"/>
            </w:tcBorders>
          </w:tcPr>
          <w:p w14:paraId="2C74ED39" w14:textId="77777777" w:rsidR="008D62EF" w:rsidRPr="005B6340" w:rsidRDefault="008D62EF" w:rsidP="00781311">
            <w:pPr>
              <w:pStyle w:val="wTableSections"/>
            </w:pPr>
            <w:r w:rsidRPr="005B6340">
              <w:t>Age of</w:t>
            </w:r>
            <w:r>
              <w:br/>
            </w:r>
            <w:r w:rsidRPr="005B6340">
              <w:t>Employee</w:t>
            </w:r>
          </w:p>
        </w:tc>
        <w:tc>
          <w:tcPr>
            <w:tcW w:w="1540" w:type="dxa"/>
            <w:tcBorders>
              <w:left w:val="single" w:sz="6" w:space="0" w:color="auto"/>
              <w:bottom w:val="single" w:sz="6" w:space="0" w:color="auto"/>
              <w:right w:val="single" w:sz="6" w:space="0" w:color="auto"/>
            </w:tcBorders>
          </w:tcPr>
          <w:p w14:paraId="1CBD6C04" w14:textId="77777777" w:rsidR="008D62EF" w:rsidRPr="005B6340" w:rsidRDefault="008D62EF" w:rsidP="00781311">
            <w:pPr>
              <w:pStyle w:val="wTableSections"/>
            </w:pPr>
            <w:r w:rsidRPr="005B6340">
              <w:t>Distribution</w:t>
            </w:r>
            <w:r>
              <w:br/>
            </w:r>
            <w:r w:rsidRPr="005B6340">
              <w:t>Period</w:t>
            </w:r>
          </w:p>
        </w:tc>
        <w:tc>
          <w:tcPr>
            <w:tcW w:w="1309" w:type="dxa"/>
            <w:tcBorders>
              <w:left w:val="single" w:sz="6" w:space="0" w:color="auto"/>
              <w:bottom w:val="single" w:sz="6" w:space="0" w:color="auto"/>
              <w:right w:val="single" w:sz="6" w:space="0" w:color="auto"/>
            </w:tcBorders>
          </w:tcPr>
          <w:p w14:paraId="29E593CC" w14:textId="77777777" w:rsidR="008D62EF" w:rsidRPr="005B6340" w:rsidRDefault="008D62EF" w:rsidP="00781311">
            <w:pPr>
              <w:pStyle w:val="wTableSections"/>
            </w:pPr>
            <w:r w:rsidRPr="005B6340">
              <w:t>Age of</w:t>
            </w:r>
            <w:r>
              <w:br/>
            </w:r>
            <w:r w:rsidRPr="005B6340">
              <w:t>Employee</w:t>
            </w:r>
          </w:p>
        </w:tc>
        <w:tc>
          <w:tcPr>
            <w:tcW w:w="1794" w:type="dxa"/>
            <w:tcBorders>
              <w:left w:val="single" w:sz="6" w:space="0" w:color="auto"/>
              <w:bottom w:val="single" w:sz="6" w:space="0" w:color="auto"/>
              <w:right w:val="single" w:sz="6" w:space="0" w:color="auto"/>
            </w:tcBorders>
          </w:tcPr>
          <w:p w14:paraId="6763B161" w14:textId="77777777" w:rsidR="008D62EF" w:rsidRPr="005B6340" w:rsidRDefault="008D62EF" w:rsidP="00781311">
            <w:pPr>
              <w:pStyle w:val="wTableSections"/>
            </w:pPr>
            <w:r w:rsidRPr="005B6340">
              <w:t>Distribution</w:t>
            </w:r>
            <w:r>
              <w:br/>
            </w:r>
            <w:r w:rsidRPr="005B6340">
              <w:t>Period</w:t>
            </w:r>
          </w:p>
        </w:tc>
        <w:tc>
          <w:tcPr>
            <w:tcW w:w="1277" w:type="dxa"/>
            <w:gridSpan w:val="2"/>
            <w:tcBorders>
              <w:left w:val="single" w:sz="6" w:space="0" w:color="auto"/>
              <w:bottom w:val="single" w:sz="6" w:space="0" w:color="auto"/>
              <w:right w:val="single" w:sz="6" w:space="0" w:color="auto"/>
            </w:tcBorders>
          </w:tcPr>
          <w:p w14:paraId="7698BFE2" w14:textId="77777777" w:rsidR="008D62EF" w:rsidRPr="005B6340" w:rsidRDefault="008D62EF" w:rsidP="00781311">
            <w:pPr>
              <w:pStyle w:val="wTableSections"/>
            </w:pPr>
            <w:r w:rsidRPr="005B6340">
              <w:t>Age of</w:t>
            </w:r>
            <w:r>
              <w:br/>
            </w:r>
            <w:r w:rsidRPr="005B6340">
              <w:t>Employee</w:t>
            </w:r>
          </w:p>
        </w:tc>
        <w:tc>
          <w:tcPr>
            <w:tcW w:w="1436" w:type="dxa"/>
            <w:tcBorders>
              <w:left w:val="single" w:sz="6" w:space="0" w:color="auto"/>
              <w:bottom w:val="single" w:sz="6" w:space="0" w:color="auto"/>
            </w:tcBorders>
          </w:tcPr>
          <w:p w14:paraId="5D0645A6" w14:textId="77777777" w:rsidR="008D62EF" w:rsidRPr="005B6340" w:rsidRDefault="008D62EF" w:rsidP="00781311">
            <w:pPr>
              <w:pStyle w:val="wTableSections"/>
            </w:pPr>
            <w:r w:rsidRPr="005B6340">
              <w:t>Distribution</w:t>
            </w:r>
            <w:r>
              <w:br/>
            </w:r>
            <w:r w:rsidRPr="005B6340">
              <w:t>Period</w:t>
            </w:r>
          </w:p>
        </w:tc>
      </w:tr>
      <w:tr w:rsidR="00CD702C" w:rsidRPr="006D389B" w14:paraId="2C4D63AD" w14:textId="77777777" w:rsidTr="006D389B">
        <w:trPr>
          <w:jc w:val="center"/>
        </w:trPr>
        <w:tc>
          <w:tcPr>
            <w:tcW w:w="1256" w:type="dxa"/>
            <w:tcBorders>
              <w:top w:val="single" w:sz="6" w:space="0" w:color="auto"/>
              <w:bottom w:val="single" w:sz="6" w:space="0" w:color="auto"/>
              <w:right w:val="single" w:sz="6" w:space="0" w:color="auto"/>
            </w:tcBorders>
          </w:tcPr>
          <w:p w14:paraId="391D46A5" w14:textId="77777777" w:rsidR="00CD702C" w:rsidRPr="00CD702C" w:rsidRDefault="00CD702C" w:rsidP="006D389B">
            <w:pPr>
              <w:pStyle w:val="wTableNormal"/>
              <w:jc w:val="center"/>
            </w:pPr>
            <w:r w:rsidRPr="00CD702C">
              <w:t>70</w:t>
            </w:r>
          </w:p>
        </w:tc>
        <w:tc>
          <w:tcPr>
            <w:tcW w:w="1540" w:type="dxa"/>
            <w:tcBorders>
              <w:top w:val="single" w:sz="6" w:space="0" w:color="auto"/>
              <w:left w:val="single" w:sz="6" w:space="0" w:color="auto"/>
              <w:bottom w:val="single" w:sz="6" w:space="0" w:color="auto"/>
              <w:right w:val="single" w:sz="6" w:space="0" w:color="auto"/>
            </w:tcBorders>
          </w:tcPr>
          <w:p w14:paraId="332C07C7" w14:textId="77777777" w:rsidR="00CD702C" w:rsidRPr="00CD702C" w:rsidRDefault="00CD702C" w:rsidP="006D389B">
            <w:pPr>
              <w:pStyle w:val="wTableNormal"/>
              <w:jc w:val="center"/>
            </w:pPr>
            <w:r w:rsidRPr="00CD702C">
              <w:t>27.4</w:t>
            </w:r>
          </w:p>
        </w:tc>
        <w:tc>
          <w:tcPr>
            <w:tcW w:w="1309" w:type="dxa"/>
            <w:tcBorders>
              <w:top w:val="single" w:sz="6" w:space="0" w:color="auto"/>
              <w:left w:val="single" w:sz="6" w:space="0" w:color="auto"/>
              <w:bottom w:val="single" w:sz="6" w:space="0" w:color="auto"/>
              <w:right w:val="single" w:sz="6" w:space="0" w:color="auto"/>
            </w:tcBorders>
          </w:tcPr>
          <w:p w14:paraId="3B331CFC" w14:textId="77777777" w:rsidR="00CD702C" w:rsidRPr="00CD702C" w:rsidRDefault="00CD702C" w:rsidP="006D389B">
            <w:pPr>
              <w:pStyle w:val="wTableNormal"/>
              <w:jc w:val="center"/>
            </w:pPr>
            <w:r w:rsidRPr="00CD702C">
              <w:t>86</w:t>
            </w:r>
          </w:p>
        </w:tc>
        <w:tc>
          <w:tcPr>
            <w:tcW w:w="1794" w:type="dxa"/>
            <w:tcBorders>
              <w:top w:val="single" w:sz="6" w:space="0" w:color="auto"/>
              <w:left w:val="single" w:sz="6" w:space="0" w:color="auto"/>
              <w:bottom w:val="single" w:sz="6" w:space="0" w:color="auto"/>
              <w:right w:val="single" w:sz="6" w:space="0" w:color="auto"/>
            </w:tcBorders>
          </w:tcPr>
          <w:p w14:paraId="32EBB229" w14:textId="77777777" w:rsidR="00CD702C" w:rsidRPr="00CD702C" w:rsidRDefault="00CD702C" w:rsidP="006D389B">
            <w:pPr>
              <w:pStyle w:val="wTableNormal"/>
              <w:jc w:val="center"/>
            </w:pPr>
            <w:r w:rsidRPr="00CD702C">
              <w:t>14.1</w:t>
            </w:r>
          </w:p>
        </w:tc>
        <w:tc>
          <w:tcPr>
            <w:tcW w:w="1256" w:type="dxa"/>
            <w:tcBorders>
              <w:top w:val="single" w:sz="6" w:space="0" w:color="auto"/>
              <w:left w:val="single" w:sz="6" w:space="0" w:color="auto"/>
              <w:bottom w:val="single" w:sz="6" w:space="0" w:color="auto"/>
              <w:right w:val="single" w:sz="6" w:space="0" w:color="auto"/>
            </w:tcBorders>
          </w:tcPr>
          <w:p w14:paraId="171E94BB" w14:textId="77777777" w:rsidR="00CD702C" w:rsidRPr="00CD702C" w:rsidRDefault="00CD702C" w:rsidP="006D389B">
            <w:pPr>
              <w:pStyle w:val="wTableNormal"/>
              <w:jc w:val="center"/>
            </w:pPr>
            <w:r w:rsidRPr="00CD702C">
              <w:t>101</w:t>
            </w:r>
          </w:p>
        </w:tc>
        <w:tc>
          <w:tcPr>
            <w:tcW w:w="1457" w:type="dxa"/>
            <w:gridSpan w:val="2"/>
            <w:tcBorders>
              <w:top w:val="single" w:sz="6" w:space="0" w:color="auto"/>
              <w:left w:val="single" w:sz="6" w:space="0" w:color="auto"/>
              <w:bottom w:val="single" w:sz="6" w:space="0" w:color="auto"/>
            </w:tcBorders>
          </w:tcPr>
          <w:p w14:paraId="0B3C8881" w14:textId="77777777" w:rsidR="00CD702C" w:rsidRPr="00CD702C" w:rsidRDefault="00CD702C" w:rsidP="006D389B">
            <w:pPr>
              <w:pStyle w:val="wTableNormal"/>
              <w:jc w:val="center"/>
            </w:pPr>
            <w:r w:rsidRPr="00CD702C">
              <w:t>5.9</w:t>
            </w:r>
          </w:p>
        </w:tc>
      </w:tr>
      <w:tr w:rsidR="00CD702C" w:rsidRPr="006D389B" w14:paraId="2D8D11F9" w14:textId="77777777" w:rsidTr="006D389B">
        <w:trPr>
          <w:jc w:val="center"/>
        </w:trPr>
        <w:tc>
          <w:tcPr>
            <w:tcW w:w="1256" w:type="dxa"/>
            <w:tcBorders>
              <w:top w:val="single" w:sz="6" w:space="0" w:color="auto"/>
              <w:bottom w:val="single" w:sz="6" w:space="0" w:color="auto"/>
              <w:right w:val="single" w:sz="6" w:space="0" w:color="auto"/>
            </w:tcBorders>
          </w:tcPr>
          <w:p w14:paraId="2FF5C122" w14:textId="77777777" w:rsidR="00CD702C" w:rsidRPr="00CD702C" w:rsidRDefault="00CD702C" w:rsidP="006D389B">
            <w:pPr>
              <w:pStyle w:val="wTableNormal"/>
              <w:jc w:val="center"/>
            </w:pPr>
            <w:r w:rsidRPr="00CD702C">
              <w:t>71</w:t>
            </w:r>
          </w:p>
        </w:tc>
        <w:tc>
          <w:tcPr>
            <w:tcW w:w="1540" w:type="dxa"/>
            <w:tcBorders>
              <w:top w:val="single" w:sz="6" w:space="0" w:color="auto"/>
              <w:left w:val="single" w:sz="6" w:space="0" w:color="auto"/>
              <w:bottom w:val="single" w:sz="6" w:space="0" w:color="auto"/>
              <w:right w:val="single" w:sz="6" w:space="0" w:color="auto"/>
            </w:tcBorders>
          </w:tcPr>
          <w:p w14:paraId="01FF14AA" w14:textId="77777777" w:rsidR="00CD702C" w:rsidRPr="00CD702C" w:rsidRDefault="00CD702C" w:rsidP="006D389B">
            <w:pPr>
              <w:pStyle w:val="wTableNormal"/>
              <w:jc w:val="center"/>
            </w:pPr>
            <w:r w:rsidRPr="00CD702C">
              <w:t>26.5</w:t>
            </w:r>
          </w:p>
        </w:tc>
        <w:tc>
          <w:tcPr>
            <w:tcW w:w="1309" w:type="dxa"/>
            <w:tcBorders>
              <w:top w:val="single" w:sz="6" w:space="0" w:color="auto"/>
              <w:left w:val="single" w:sz="6" w:space="0" w:color="auto"/>
              <w:bottom w:val="single" w:sz="6" w:space="0" w:color="auto"/>
              <w:right w:val="single" w:sz="6" w:space="0" w:color="auto"/>
            </w:tcBorders>
          </w:tcPr>
          <w:p w14:paraId="31C87308" w14:textId="77777777" w:rsidR="00CD702C" w:rsidRPr="00CD702C" w:rsidRDefault="00CD702C" w:rsidP="006D389B">
            <w:pPr>
              <w:pStyle w:val="wTableNormal"/>
              <w:jc w:val="center"/>
            </w:pPr>
            <w:r w:rsidRPr="00CD702C">
              <w:t>87</w:t>
            </w:r>
          </w:p>
        </w:tc>
        <w:tc>
          <w:tcPr>
            <w:tcW w:w="1794" w:type="dxa"/>
            <w:tcBorders>
              <w:top w:val="single" w:sz="6" w:space="0" w:color="auto"/>
              <w:left w:val="single" w:sz="6" w:space="0" w:color="auto"/>
              <w:bottom w:val="single" w:sz="6" w:space="0" w:color="auto"/>
              <w:right w:val="single" w:sz="6" w:space="0" w:color="auto"/>
            </w:tcBorders>
          </w:tcPr>
          <w:p w14:paraId="71F1D95D" w14:textId="77777777" w:rsidR="00CD702C" w:rsidRPr="00CD702C" w:rsidRDefault="00CD702C" w:rsidP="006D389B">
            <w:pPr>
              <w:pStyle w:val="wTableNormal"/>
              <w:jc w:val="center"/>
            </w:pPr>
            <w:r w:rsidRPr="00CD702C">
              <w:t>13.4</w:t>
            </w:r>
          </w:p>
        </w:tc>
        <w:tc>
          <w:tcPr>
            <w:tcW w:w="1256" w:type="dxa"/>
            <w:tcBorders>
              <w:top w:val="single" w:sz="6" w:space="0" w:color="auto"/>
              <w:left w:val="single" w:sz="6" w:space="0" w:color="auto"/>
              <w:bottom w:val="single" w:sz="6" w:space="0" w:color="auto"/>
              <w:right w:val="single" w:sz="6" w:space="0" w:color="auto"/>
            </w:tcBorders>
          </w:tcPr>
          <w:p w14:paraId="662CC55C" w14:textId="77777777" w:rsidR="00CD702C" w:rsidRPr="00CD702C" w:rsidRDefault="00CD702C" w:rsidP="006D389B">
            <w:pPr>
              <w:pStyle w:val="wTableNormal"/>
              <w:jc w:val="center"/>
            </w:pPr>
            <w:r w:rsidRPr="00CD702C">
              <w:t>102</w:t>
            </w:r>
          </w:p>
        </w:tc>
        <w:tc>
          <w:tcPr>
            <w:tcW w:w="1457" w:type="dxa"/>
            <w:gridSpan w:val="2"/>
            <w:tcBorders>
              <w:top w:val="single" w:sz="6" w:space="0" w:color="auto"/>
              <w:left w:val="single" w:sz="6" w:space="0" w:color="auto"/>
              <w:bottom w:val="single" w:sz="6" w:space="0" w:color="auto"/>
            </w:tcBorders>
          </w:tcPr>
          <w:p w14:paraId="5E9C4EEF" w14:textId="77777777" w:rsidR="00CD702C" w:rsidRPr="00CD702C" w:rsidRDefault="00CD702C" w:rsidP="006D389B">
            <w:pPr>
              <w:pStyle w:val="wTableNormal"/>
              <w:jc w:val="center"/>
            </w:pPr>
            <w:r w:rsidRPr="00CD702C">
              <w:t>5.5</w:t>
            </w:r>
          </w:p>
        </w:tc>
      </w:tr>
      <w:tr w:rsidR="00CD702C" w:rsidRPr="006D389B" w14:paraId="63DABA96" w14:textId="77777777" w:rsidTr="006D389B">
        <w:trPr>
          <w:jc w:val="center"/>
        </w:trPr>
        <w:tc>
          <w:tcPr>
            <w:tcW w:w="1256" w:type="dxa"/>
            <w:tcBorders>
              <w:top w:val="single" w:sz="6" w:space="0" w:color="auto"/>
              <w:bottom w:val="single" w:sz="6" w:space="0" w:color="auto"/>
              <w:right w:val="single" w:sz="6" w:space="0" w:color="auto"/>
            </w:tcBorders>
          </w:tcPr>
          <w:p w14:paraId="17F74D8F" w14:textId="77777777" w:rsidR="00CD702C" w:rsidRPr="00CD702C" w:rsidRDefault="00CD702C" w:rsidP="006D389B">
            <w:pPr>
              <w:pStyle w:val="wTableNormal"/>
              <w:jc w:val="center"/>
            </w:pPr>
            <w:r w:rsidRPr="00CD702C">
              <w:t>72</w:t>
            </w:r>
          </w:p>
        </w:tc>
        <w:tc>
          <w:tcPr>
            <w:tcW w:w="1540" w:type="dxa"/>
            <w:tcBorders>
              <w:top w:val="single" w:sz="6" w:space="0" w:color="auto"/>
              <w:left w:val="single" w:sz="6" w:space="0" w:color="auto"/>
              <w:bottom w:val="single" w:sz="6" w:space="0" w:color="auto"/>
              <w:right w:val="single" w:sz="6" w:space="0" w:color="auto"/>
            </w:tcBorders>
          </w:tcPr>
          <w:p w14:paraId="05672119" w14:textId="77777777" w:rsidR="00CD702C" w:rsidRPr="00CD702C" w:rsidRDefault="00CD702C" w:rsidP="006D389B">
            <w:pPr>
              <w:pStyle w:val="wTableNormal"/>
              <w:jc w:val="center"/>
            </w:pPr>
            <w:r w:rsidRPr="00CD702C">
              <w:t>25.6</w:t>
            </w:r>
          </w:p>
        </w:tc>
        <w:tc>
          <w:tcPr>
            <w:tcW w:w="1309" w:type="dxa"/>
            <w:tcBorders>
              <w:top w:val="single" w:sz="6" w:space="0" w:color="auto"/>
              <w:left w:val="single" w:sz="6" w:space="0" w:color="auto"/>
              <w:bottom w:val="single" w:sz="6" w:space="0" w:color="auto"/>
              <w:right w:val="single" w:sz="6" w:space="0" w:color="auto"/>
            </w:tcBorders>
          </w:tcPr>
          <w:p w14:paraId="606D6DC2" w14:textId="77777777" w:rsidR="00CD702C" w:rsidRPr="00CD702C" w:rsidRDefault="00CD702C" w:rsidP="006D389B">
            <w:pPr>
              <w:pStyle w:val="wTableNormal"/>
              <w:jc w:val="center"/>
            </w:pPr>
            <w:r w:rsidRPr="00CD702C">
              <w:t>88</w:t>
            </w:r>
          </w:p>
        </w:tc>
        <w:tc>
          <w:tcPr>
            <w:tcW w:w="1794" w:type="dxa"/>
            <w:tcBorders>
              <w:top w:val="single" w:sz="6" w:space="0" w:color="auto"/>
              <w:left w:val="single" w:sz="6" w:space="0" w:color="auto"/>
              <w:bottom w:val="single" w:sz="6" w:space="0" w:color="auto"/>
              <w:right w:val="single" w:sz="6" w:space="0" w:color="auto"/>
            </w:tcBorders>
          </w:tcPr>
          <w:p w14:paraId="611895B9" w14:textId="77777777" w:rsidR="00CD702C" w:rsidRPr="00CD702C" w:rsidRDefault="00CD702C" w:rsidP="006D389B">
            <w:pPr>
              <w:pStyle w:val="wTableNormal"/>
              <w:jc w:val="center"/>
            </w:pPr>
            <w:r w:rsidRPr="00CD702C">
              <w:t>12.7</w:t>
            </w:r>
          </w:p>
        </w:tc>
        <w:tc>
          <w:tcPr>
            <w:tcW w:w="1256" w:type="dxa"/>
            <w:tcBorders>
              <w:top w:val="single" w:sz="6" w:space="0" w:color="auto"/>
              <w:left w:val="single" w:sz="6" w:space="0" w:color="auto"/>
              <w:bottom w:val="single" w:sz="6" w:space="0" w:color="auto"/>
              <w:right w:val="single" w:sz="6" w:space="0" w:color="auto"/>
            </w:tcBorders>
          </w:tcPr>
          <w:p w14:paraId="0734C9C7" w14:textId="77777777" w:rsidR="00CD702C" w:rsidRPr="00CD702C" w:rsidRDefault="00CD702C" w:rsidP="006D389B">
            <w:pPr>
              <w:pStyle w:val="wTableNormal"/>
              <w:jc w:val="center"/>
            </w:pPr>
            <w:r w:rsidRPr="00CD702C">
              <w:t>103</w:t>
            </w:r>
          </w:p>
        </w:tc>
        <w:tc>
          <w:tcPr>
            <w:tcW w:w="1457" w:type="dxa"/>
            <w:gridSpan w:val="2"/>
            <w:tcBorders>
              <w:top w:val="single" w:sz="6" w:space="0" w:color="auto"/>
              <w:left w:val="single" w:sz="6" w:space="0" w:color="auto"/>
              <w:bottom w:val="single" w:sz="6" w:space="0" w:color="auto"/>
            </w:tcBorders>
          </w:tcPr>
          <w:p w14:paraId="0F2D9C88" w14:textId="77777777" w:rsidR="00CD702C" w:rsidRPr="00CD702C" w:rsidRDefault="00CD702C" w:rsidP="006D389B">
            <w:pPr>
              <w:pStyle w:val="wTableNormal"/>
              <w:jc w:val="center"/>
            </w:pPr>
            <w:r w:rsidRPr="00CD702C">
              <w:t>5.2</w:t>
            </w:r>
          </w:p>
        </w:tc>
      </w:tr>
      <w:tr w:rsidR="00CD702C" w:rsidRPr="006D389B" w14:paraId="0E430068" w14:textId="77777777" w:rsidTr="006D389B">
        <w:trPr>
          <w:jc w:val="center"/>
        </w:trPr>
        <w:tc>
          <w:tcPr>
            <w:tcW w:w="1256" w:type="dxa"/>
            <w:tcBorders>
              <w:top w:val="single" w:sz="6" w:space="0" w:color="auto"/>
              <w:bottom w:val="single" w:sz="6" w:space="0" w:color="auto"/>
              <w:right w:val="single" w:sz="6" w:space="0" w:color="auto"/>
            </w:tcBorders>
          </w:tcPr>
          <w:p w14:paraId="5934FAA3" w14:textId="77777777" w:rsidR="00CD702C" w:rsidRPr="00CD702C" w:rsidRDefault="00CD702C" w:rsidP="006D389B">
            <w:pPr>
              <w:pStyle w:val="wTableNormal"/>
              <w:jc w:val="center"/>
            </w:pPr>
            <w:r w:rsidRPr="00CD702C">
              <w:t>73</w:t>
            </w:r>
          </w:p>
        </w:tc>
        <w:tc>
          <w:tcPr>
            <w:tcW w:w="1540" w:type="dxa"/>
            <w:tcBorders>
              <w:top w:val="single" w:sz="6" w:space="0" w:color="auto"/>
              <w:left w:val="single" w:sz="6" w:space="0" w:color="auto"/>
              <w:bottom w:val="single" w:sz="6" w:space="0" w:color="auto"/>
              <w:right w:val="single" w:sz="6" w:space="0" w:color="auto"/>
            </w:tcBorders>
          </w:tcPr>
          <w:p w14:paraId="60801980" w14:textId="77777777" w:rsidR="00CD702C" w:rsidRPr="00CD702C" w:rsidRDefault="00CD702C" w:rsidP="006D389B">
            <w:pPr>
              <w:pStyle w:val="wTableNormal"/>
              <w:jc w:val="center"/>
            </w:pPr>
            <w:r w:rsidRPr="00CD702C">
              <w:t>24.7</w:t>
            </w:r>
          </w:p>
        </w:tc>
        <w:tc>
          <w:tcPr>
            <w:tcW w:w="1309" w:type="dxa"/>
            <w:tcBorders>
              <w:top w:val="single" w:sz="6" w:space="0" w:color="auto"/>
              <w:left w:val="single" w:sz="6" w:space="0" w:color="auto"/>
              <w:bottom w:val="single" w:sz="6" w:space="0" w:color="auto"/>
              <w:right w:val="single" w:sz="6" w:space="0" w:color="auto"/>
            </w:tcBorders>
          </w:tcPr>
          <w:p w14:paraId="2D5F3EFC" w14:textId="77777777" w:rsidR="00CD702C" w:rsidRPr="00CD702C" w:rsidRDefault="00CD702C" w:rsidP="006D389B">
            <w:pPr>
              <w:pStyle w:val="wTableNormal"/>
              <w:jc w:val="center"/>
            </w:pPr>
            <w:r w:rsidRPr="00CD702C">
              <w:t>89</w:t>
            </w:r>
          </w:p>
        </w:tc>
        <w:tc>
          <w:tcPr>
            <w:tcW w:w="1794" w:type="dxa"/>
            <w:tcBorders>
              <w:top w:val="single" w:sz="6" w:space="0" w:color="auto"/>
              <w:left w:val="single" w:sz="6" w:space="0" w:color="auto"/>
              <w:bottom w:val="single" w:sz="6" w:space="0" w:color="auto"/>
              <w:right w:val="single" w:sz="6" w:space="0" w:color="auto"/>
            </w:tcBorders>
          </w:tcPr>
          <w:p w14:paraId="3A000A36" w14:textId="77777777" w:rsidR="00CD702C" w:rsidRPr="00CD702C" w:rsidRDefault="00CD702C" w:rsidP="006D389B">
            <w:pPr>
              <w:pStyle w:val="wTableNormal"/>
              <w:jc w:val="center"/>
            </w:pPr>
            <w:r w:rsidRPr="00CD702C">
              <w:t>12.0</w:t>
            </w:r>
          </w:p>
        </w:tc>
        <w:tc>
          <w:tcPr>
            <w:tcW w:w="1256" w:type="dxa"/>
            <w:tcBorders>
              <w:top w:val="single" w:sz="6" w:space="0" w:color="auto"/>
              <w:left w:val="single" w:sz="6" w:space="0" w:color="auto"/>
              <w:bottom w:val="single" w:sz="6" w:space="0" w:color="auto"/>
              <w:right w:val="single" w:sz="6" w:space="0" w:color="auto"/>
            </w:tcBorders>
          </w:tcPr>
          <w:p w14:paraId="2E948A17" w14:textId="77777777" w:rsidR="00CD702C" w:rsidRPr="00CD702C" w:rsidRDefault="00CD702C" w:rsidP="006D389B">
            <w:pPr>
              <w:pStyle w:val="wTableNormal"/>
              <w:jc w:val="center"/>
            </w:pPr>
            <w:r w:rsidRPr="00CD702C">
              <w:t>104</w:t>
            </w:r>
          </w:p>
        </w:tc>
        <w:tc>
          <w:tcPr>
            <w:tcW w:w="1457" w:type="dxa"/>
            <w:gridSpan w:val="2"/>
            <w:tcBorders>
              <w:top w:val="single" w:sz="6" w:space="0" w:color="auto"/>
              <w:left w:val="single" w:sz="6" w:space="0" w:color="auto"/>
              <w:bottom w:val="single" w:sz="6" w:space="0" w:color="auto"/>
            </w:tcBorders>
          </w:tcPr>
          <w:p w14:paraId="13827158" w14:textId="77777777" w:rsidR="00CD702C" w:rsidRPr="00CD702C" w:rsidRDefault="00CD702C" w:rsidP="006D389B">
            <w:pPr>
              <w:pStyle w:val="wTableNormal"/>
              <w:jc w:val="center"/>
            </w:pPr>
            <w:r w:rsidRPr="00CD702C">
              <w:t>4.9</w:t>
            </w:r>
          </w:p>
        </w:tc>
      </w:tr>
      <w:tr w:rsidR="00CD702C" w:rsidRPr="006D389B" w14:paraId="1CABF562" w14:textId="77777777" w:rsidTr="006D389B">
        <w:trPr>
          <w:jc w:val="center"/>
        </w:trPr>
        <w:tc>
          <w:tcPr>
            <w:tcW w:w="1256" w:type="dxa"/>
            <w:tcBorders>
              <w:top w:val="single" w:sz="6" w:space="0" w:color="auto"/>
              <w:bottom w:val="single" w:sz="6" w:space="0" w:color="auto"/>
              <w:right w:val="single" w:sz="6" w:space="0" w:color="auto"/>
            </w:tcBorders>
          </w:tcPr>
          <w:p w14:paraId="3B735B8A" w14:textId="77777777" w:rsidR="00CD702C" w:rsidRPr="00CD702C" w:rsidRDefault="00CD702C" w:rsidP="006D389B">
            <w:pPr>
              <w:pStyle w:val="wTableNormal"/>
              <w:jc w:val="center"/>
            </w:pPr>
            <w:r w:rsidRPr="00CD702C">
              <w:t>74</w:t>
            </w:r>
          </w:p>
        </w:tc>
        <w:tc>
          <w:tcPr>
            <w:tcW w:w="1540" w:type="dxa"/>
            <w:tcBorders>
              <w:top w:val="single" w:sz="6" w:space="0" w:color="auto"/>
              <w:left w:val="single" w:sz="6" w:space="0" w:color="auto"/>
              <w:bottom w:val="single" w:sz="6" w:space="0" w:color="auto"/>
              <w:right w:val="single" w:sz="6" w:space="0" w:color="auto"/>
            </w:tcBorders>
          </w:tcPr>
          <w:p w14:paraId="538B9B18" w14:textId="77777777" w:rsidR="00CD702C" w:rsidRPr="00CD702C" w:rsidRDefault="00CD702C" w:rsidP="006D389B">
            <w:pPr>
              <w:pStyle w:val="wTableNormal"/>
              <w:jc w:val="center"/>
            </w:pPr>
            <w:r w:rsidRPr="00CD702C">
              <w:t>23.8</w:t>
            </w:r>
          </w:p>
        </w:tc>
        <w:tc>
          <w:tcPr>
            <w:tcW w:w="1309" w:type="dxa"/>
            <w:tcBorders>
              <w:top w:val="single" w:sz="6" w:space="0" w:color="auto"/>
              <w:left w:val="single" w:sz="6" w:space="0" w:color="auto"/>
              <w:bottom w:val="single" w:sz="6" w:space="0" w:color="auto"/>
              <w:right w:val="single" w:sz="6" w:space="0" w:color="auto"/>
            </w:tcBorders>
          </w:tcPr>
          <w:p w14:paraId="2DC9B904" w14:textId="77777777" w:rsidR="00CD702C" w:rsidRPr="00CD702C" w:rsidRDefault="00CD702C" w:rsidP="006D389B">
            <w:pPr>
              <w:pStyle w:val="wTableNormal"/>
              <w:jc w:val="center"/>
            </w:pPr>
            <w:r w:rsidRPr="00CD702C">
              <w:t>90</w:t>
            </w:r>
          </w:p>
        </w:tc>
        <w:tc>
          <w:tcPr>
            <w:tcW w:w="1794" w:type="dxa"/>
            <w:tcBorders>
              <w:top w:val="single" w:sz="6" w:space="0" w:color="auto"/>
              <w:left w:val="single" w:sz="6" w:space="0" w:color="auto"/>
              <w:bottom w:val="single" w:sz="6" w:space="0" w:color="auto"/>
              <w:right w:val="single" w:sz="6" w:space="0" w:color="auto"/>
            </w:tcBorders>
          </w:tcPr>
          <w:p w14:paraId="2ECBAB5E" w14:textId="77777777" w:rsidR="00CD702C" w:rsidRPr="00CD702C" w:rsidRDefault="00CD702C" w:rsidP="006D389B">
            <w:pPr>
              <w:pStyle w:val="wTableNormal"/>
              <w:jc w:val="center"/>
            </w:pPr>
            <w:r w:rsidRPr="00CD702C">
              <w:t>11.4</w:t>
            </w:r>
          </w:p>
        </w:tc>
        <w:tc>
          <w:tcPr>
            <w:tcW w:w="1256" w:type="dxa"/>
            <w:tcBorders>
              <w:top w:val="single" w:sz="6" w:space="0" w:color="auto"/>
              <w:left w:val="single" w:sz="6" w:space="0" w:color="auto"/>
              <w:bottom w:val="single" w:sz="6" w:space="0" w:color="auto"/>
              <w:right w:val="single" w:sz="6" w:space="0" w:color="auto"/>
            </w:tcBorders>
          </w:tcPr>
          <w:p w14:paraId="5679F19D" w14:textId="77777777" w:rsidR="00CD702C" w:rsidRPr="00CD702C" w:rsidRDefault="00CD702C" w:rsidP="006D389B">
            <w:pPr>
              <w:pStyle w:val="wTableNormal"/>
              <w:jc w:val="center"/>
            </w:pPr>
            <w:r w:rsidRPr="00CD702C">
              <w:t>105</w:t>
            </w:r>
          </w:p>
        </w:tc>
        <w:tc>
          <w:tcPr>
            <w:tcW w:w="1457" w:type="dxa"/>
            <w:gridSpan w:val="2"/>
            <w:tcBorders>
              <w:top w:val="single" w:sz="6" w:space="0" w:color="auto"/>
              <w:left w:val="single" w:sz="6" w:space="0" w:color="auto"/>
              <w:bottom w:val="single" w:sz="6" w:space="0" w:color="auto"/>
            </w:tcBorders>
          </w:tcPr>
          <w:p w14:paraId="1F370448" w14:textId="77777777" w:rsidR="00CD702C" w:rsidRPr="00CD702C" w:rsidRDefault="00CD702C" w:rsidP="006D389B">
            <w:pPr>
              <w:pStyle w:val="wTableNormal"/>
              <w:jc w:val="center"/>
            </w:pPr>
            <w:r w:rsidRPr="00CD702C">
              <w:t>4.5</w:t>
            </w:r>
          </w:p>
        </w:tc>
      </w:tr>
      <w:tr w:rsidR="00CD702C" w:rsidRPr="006D389B" w14:paraId="2FABC3DA" w14:textId="77777777" w:rsidTr="006D389B">
        <w:trPr>
          <w:jc w:val="center"/>
        </w:trPr>
        <w:tc>
          <w:tcPr>
            <w:tcW w:w="1256" w:type="dxa"/>
            <w:tcBorders>
              <w:top w:val="single" w:sz="6" w:space="0" w:color="auto"/>
              <w:bottom w:val="single" w:sz="6" w:space="0" w:color="auto"/>
              <w:right w:val="single" w:sz="6" w:space="0" w:color="auto"/>
            </w:tcBorders>
          </w:tcPr>
          <w:p w14:paraId="0BF15F10" w14:textId="77777777" w:rsidR="00CD702C" w:rsidRPr="00CD702C" w:rsidRDefault="00CD702C" w:rsidP="006D389B">
            <w:pPr>
              <w:pStyle w:val="wTableNormal"/>
              <w:jc w:val="center"/>
            </w:pPr>
            <w:r w:rsidRPr="00CD702C">
              <w:t>75</w:t>
            </w:r>
          </w:p>
        </w:tc>
        <w:tc>
          <w:tcPr>
            <w:tcW w:w="1540" w:type="dxa"/>
            <w:tcBorders>
              <w:top w:val="single" w:sz="6" w:space="0" w:color="auto"/>
              <w:left w:val="single" w:sz="6" w:space="0" w:color="auto"/>
              <w:bottom w:val="single" w:sz="6" w:space="0" w:color="auto"/>
              <w:right w:val="single" w:sz="6" w:space="0" w:color="auto"/>
            </w:tcBorders>
          </w:tcPr>
          <w:p w14:paraId="45D88D9A" w14:textId="77777777" w:rsidR="00CD702C" w:rsidRPr="00CD702C" w:rsidRDefault="00CD702C" w:rsidP="006D389B">
            <w:pPr>
              <w:pStyle w:val="wTableNormal"/>
              <w:jc w:val="center"/>
            </w:pPr>
            <w:r w:rsidRPr="00CD702C">
              <w:t>22.9</w:t>
            </w:r>
          </w:p>
        </w:tc>
        <w:tc>
          <w:tcPr>
            <w:tcW w:w="1309" w:type="dxa"/>
            <w:tcBorders>
              <w:top w:val="single" w:sz="6" w:space="0" w:color="auto"/>
              <w:left w:val="single" w:sz="6" w:space="0" w:color="auto"/>
              <w:bottom w:val="single" w:sz="6" w:space="0" w:color="auto"/>
              <w:right w:val="single" w:sz="6" w:space="0" w:color="auto"/>
            </w:tcBorders>
          </w:tcPr>
          <w:p w14:paraId="1FBD2DE8" w14:textId="77777777" w:rsidR="00CD702C" w:rsidRPr="00CD702C" w:rsidRDefault="00CD702C" w:rsidP="006D389B">
            <w:pPr>
              <w:pStyle w:val="wTableNormal"/>
              <w:jc w:val="center"/>
            </w:pPr>
            <w:r w:rsidRPr="00CD702C">
              <w:t>91</w:t>
            </w:r>
          </w:p>
        </w:tc>
        <w:tc>
          <w:tcPr>
            <w:tcW w:w="1794" w:type="dxa"/>
            <w:tcBorders>
              <w:top w:val="single" w:sz="6" w:space="0" w:color="auto"/>
              <w:left w:val="single" w:sz="6" w:space="0" w:color="auto"/>
              <w:bottom w:val="single" w:sz="6" w:space="0" w:color="auto"/>
              <w:right w:val="single" w:sz="6" w:space="0" w:color="auto"/>
            </w:tcBorders>
          </w:tcPr>
          <w:p w14:paraId="3796D268" w14:textId="77777777" w:rsidR="00CD702C" w:rsidRPr="00CD702C" w:rsidRDefault="00CD702C" w:rsidP="006D389B">
            <w:pPr>
              <w:pStyle w:val="wTableNormal"/>
              <w:jc w:val="center"/>
            </w:pPr>
            <w:r w:rsidRPr="00CD702C">
              <w:t>10.8</w:t>
            </w:r>
          </w:p>
        </w:tc>
        <w:tc>
          <w:tcPr>
            <w:tcW w:w="1256" w:type="dxa"/>
            <w:tcBorders>
              <w:top w:val="single" w:sz="6" w:space="0" w:color="auto"/>
              <w:left w:val="single" w:sz="6" w:space="0" w:color="auto"/>
              <w:bottom w:val="single" w:sz="6" w:space="0" w:color="auto"/>
              <w:right w:val="single" w:sz="6" w:space="0" w:color="auto"/>
            </w:tcBorders>
          </w:tcPr>
          <w:p w14:paraId="3012B14E" w14:textId="77777777" w:rsidR="00CD702C" w:rsidRPr="00CD702C" w:rsidRDefault="00CD702C" w:rsidP="006D389B">
            <w:pPr>
              <w:pStyle w:val="wTableNormal"/>
              <w:jc w:val="center"/>
            </w:pPr>
            <w:r w:rsidRPr="00CD702C">
              <w:t>106</w:t>
            </w:r>
          </w:p>
        </w:tc>
        <w:tc>
          <w:tcPr>
            <w:tcW w:w="1457" w:type="dxa"/>
            <w:gridSpan w:val="2"/>
            <w:tcBorders>
              <w:top w:val="single" w:sz="6" w:space="0" w:color="auto"/>
              <w:left w:val="single" w:sz="6" w:space="0" w:color="auto"/>
              <w:bottom w:val="single" w:sz="6" w:space="0" w:color="auto"/>
            </w:tcBorders>
          </w:tcPr>
          <w:p w14:paraId="5828C8CA" w14:textId="77777777" w:rsidR="00CD702C" w:rsidRPr="00CD702C" w:rsidRDefault="00CD702C" w:rsidP="006D389B">
            <w:pPr>
              <w:pStyle w:val="wTableNormal"/>
              <w:jc w:val="center"/>
            </w:pPr>
            <w:r w:rsidRPr="00CD702C">
              <w:t>4.2</w:t>
            </w:r>
          </w:p>
        </w:tc>
      </w:tr>
      <w:tr w:rsidR="00CD702C" w:rsidRPr="006D389B" w14:paraId="548D06BE" w14:textId="77777777" w:rsidTr="006D389B">
        <w:trPr>
          <w:jc w:val="center"/>
        </w:trPr>
        <w:tc>
          <w:tcPr>
            <w:tcW w:w="1256" w:type="dxa"/>
            <w:tcBorders>
              <w:top w:val="single" w:sz="6" w:space="0" w:color="auto"/>
              <w:bottom w:val="single" w:sz="6" w:space="0" w:color="auto"/>
              <w:right w:val="single" w:sz="6" w:space="0" w:color="auto"/>
            </w:tcBorders>
          </w:tcPr>
          <w:p w14:paraId="6B854D32" w14:textId="77777777" w:rsidR="00CD702C" w:rsidRPr="00CD702C" w:rsidRDefault="00CD702C" w:rsidP="006D389B">
            <w:pPr>
              <w:pStyle w:val="wTableNormal"/>
              <w:jc w:val="center"/>
            </w:pPr>
            <w:r w:rsidRPr="00CD702C">
              <w:t>76</w:t>
            </w:r>
          </w:p>
        </w:tc>
        <w:tc>
          <w:tcPr>
            <w:tcW w:w="1540" w:type="dxa"/>
            <w:tcBorders>
              <w:top w:val="single" w:sz="6" w:space="0" w:color="auto"/>
              <w:left w:val="single" w:sz="6" w:space="0" w:color="auto"/>
              <w:bottom w:val="single" w:sz="6" w:space="0" w:color="auto"/>
              <w:right w:val="single" w:sz="6" w:space="0" w:color="auto"/>
            </w:tcBorders>
          </w:tcPr>
          <w:p w14:paraId="73EF708C" w14:textId="77777777" w:rsidR="00CD702C" w:rsidRPr="00CD702C" w:rsidRDefault="00CD702C" w:rsidP="006D389B">
            <w:pPr>
              <w:pStyle w:val="wTableNormal"/>
              <w:jc w:val="center"/>
            </w:pPr>
            <w:r w:rsidRPr="00CD702C">
              <w:t>22.0</w:t>
            </w:r>
          </w:p>
        </w:tc>
        <w:tc>
          <w:tcPr>
            <w:tcW w:w="1309" w:type="dxa"/>
            <w:tcBorders>
              <w:top w:val="single" w:sz="6" w:space="0" w:color="auto"/>
              <w:left w:val="single" w:sz="6" w:space="0" w:color="auto"/>
              <w:bottom w:val="single" w:sz="6" w:space="0" w:color="auto"/>
              <w:right w:val="single" w:sz="6" w:space="0" w:color="auto"/>
            </w:tcBorders>
          </w:tcPr>
          <w:p w14:paraId="43BD8E97" w14:textId="77777777" w:rsidR="00CD702C" w:rsidRPr="00CD702C" w:rsidRDefault="00CD702C" w:rsidP="006D389B">
            <w:pPr>
              <w:pStyle w:val="wTableNormal"/>
              <w:jc w:val="center"/>
            </w:pPr>
            <w:r w:rsidRPr="00CD702C">
              <w:t>92</w:t>
            </w:r>
          </w:p>
        </w:tc>
        <w:tc>
          <w:tcPr>
            <w:tcW w:w="1794" w:type="dxa"/>
            <w:tcBorders>
              <w:top w:val="single" w:sz="6" w:space="0" w:color="auto"/>
              <w:left w:val="single" w:sz="6" w:space="0" w:color="auto"/>
              <w:bottom w:val="single" w:sz="6" w:space="0" w:color="auto"/>
              <w:right w:val="single" w:sz="6" w:space="0" w:color="auto"/>
            </w:tcBorders>
          </w:tcPr>
          <w:p w14:paraId="5A1407B4" w14:textId="77777777" w:rsidR="00CD702C" w:rsidRPr="00CD702C" w:rsidRDefault="00CD702C" w:rsidP="006D389B">
            <w:pPr>
              <w:pStyle w:val="wTableNormal"/>
              <w:jc w:val="center"/>
            </w:pPr>
            <w:r w:rsidRPr="00CD702C">
              <w:t>10.2</w:t>
            </w:r>
          </w:p>
        </w:tc>
        <w:tc>
          <w:tcPr>
            <w:tcW w:w="1256" w:type="dxa"/>
            <w:tcBorders>
              <w:top w:val="single" w:sz="6" w:space="0" w:color="auto"/>
              <w:left w:val="single" w:sz="6" w:space="0" w:color="auto"/>
              <w:bottom w:val="single" w:sz="6" w:space="0" w:color="auto"/>
              <w:right w:val="single" w:sz="6" w:space="0" w:color="auto"/>
            </w:tcBorders>
          </w:tcPr>
          <w:p w14:paraId="4D785DDB" w14:textId="77777777" w:rsidR="00CD702C" w:rsidRPr="00CD702C" w:rsidRDefault="00CD702C" w:rsidP="006D389B">
            <w:pPr>
              <w:pStyle w:val="wTableNormal"/>
              <w:jc w:val="center"/>
            </w:pPr>
            <w:r w:rsidRPr="00CD702C">
              <w:t>107</w:t>
            </w:r>
          </w:p>
        </w:tc>
        <w:tc>
          <w:tcPr>
            <w:tcW w:w="1457" w:type="dxa"/>
            <w:gridSpan w:val="2"/>
            <w:tcBorders>
              <w:top w:val="single" w:sz="6" w:space="0" w:color="auto"/>
              <w:left w:val="single" w:sz="6" w:space="0" w:color="auto"/>
              <w:bottom w:val="single" w:sz="6" w:space="0" w:color="auto"/>
            </w:tcBorders>
          </w:tcPr>
          <w:p w14:paraId="1DB56FC1" w14:textId="77777777" w:rsidR="00CD702C" w:rsidRPr="00CD702C" w:rsidRDefault="00CD702C" w:rsidP="006D389B">
            <w:pPr>
              <w:pStyle w:val="wTableNormal"/>
              <w:jc w:val="center"/>
            </w:pPr>
            <w:r w:rsidRPr="00CD702C">
              <w:t>3.9</w:t>
            </w:r>
          </w:p>
        </w:tc>
      </w:tr>
      <w:tr w:rsidR="00CD702C" w:rsidRPr="006D389B" w14:paraId="22556142" w14:textId="77777777" w:rsidTr="006D389B">
        <w:trPr>
          <w:jc w:val="center"/>
        </w:trPr>
        <w:tc>
          <w:tcPr>
            <w:tcW w:w="1256" w:type="dxa"/>
            <w:tcBorders>
              <w:top w:val="single" w:sz="6" w:space="0" w:color="auto"/>
              <w:bottom w:val="single" w:sz="6" w:space="0" w:color="auto"/>
              <w:right w:val="single" w:sz="6" w:space="0" w:color="auto"/>
            </w:tcBorders>
          </w:tcPr>
          <w:p w14:paraId="414899BD" w14:textId="77777777" w:rsidR="00CD702C" w:rsidRPr="00CD702C" w:rsidRDefault="00CD702C" w:rsidP="006D389B">
            <w:pPr>
              <w:pStyle w:val="wTableNormal"/>
              <w:jc w:val="center"/>
            </w:pPr>
            <w:r w:rsidRPr="00CD702C">
              <w:t>77</w:t>
            </w:r>
          </w:p>
        </w:tc>
        <w:tc>
          <w:tcPr>
            <w:tcW w:w="1540" w:type="dxa"/>
            <w:tcBorders>
              <w:top w:val="single" w:sz="6" w:space="0" w:color="auto"/>
              <w:left w:val="single" w:sz="6" w:space="0" w:color="auto"/>
              <w:bottom w:val="single" w:sz="6" w:space="0" w:color="auto"/>
              <w:right w:val="single" w:sz="6" w:space="0" w:color="auto"/>
            </w:tcBorders>
          </w:tcPr>
          <w:p w14:paraId="193EC506" w14:textId="77777777" w:rsidR="00CD702C" w:rsidRPr="00CD702C" w:rsidRDefault="00CD702C" w:rsidP="006D389B">
            <w:pPr>
              <w:pStyle w:val="wTableNormal"/>
              <w:jc w:val="center"/>
            </w:pPr>
            <w:r w:rsidRPr="00CD702C">
              <w:t>21.2</w:t>
            </w:r>
          </w:p>
        </w:tc>
        <w:tc>
          <w:tcPr>
            <w:tcW w:w="1309" w:type="dxa"/>
            <w:tcBorders>
              <w:top w:val="single" w:sz="6" w:space="0" w:color="auto"/>
              <w:left w:val="single" w:sz="6" w:space="0" w:color="auto"/>
              <w:bottom w:val="single" w:sz="6" w:space="0" w:color="auto"/>
              <w:right w:val="single" w:sz="6" w:space="0" w:color="auto"/>
            </w:tcBorders>
          </w:tcPr>
          <w:p w14:paraId="18193719" w14:textId="77777777" w:rsidR="00CD702C" w:rsidRPr="00CD702C" w:rsidRDefault="00CD702C" w:rsidP="006D389B">
            <w:pPr>
              <w:pStyle w:val="wTableNormal"/>
              <w:jc w:val="center"/>
            </w:pPr>
            <w:r w:rsidRPr="00CD702C">
              <w:t>93</w:t>
            </w:r>
          </w:p>
        </w:tc>
        <w:tc>
          <w:tcPr>
            <w:tcW w:w="1794" w:type="dxa"/>
            <w:tcBorders>
              <w:top w:val="single" w:sz="6" w:space="0" w:color="auto"/>
              <w:left w:val="single" w:sz="6" w:space="0" w:color="auto"/>
              <w:bottom w:val="single" w:sz="6" w:space="0" w:color="auto"/>
              <w:right w:val="single" w:sz="6" w:space="0" w:color="auto"/>
            </w:tcBorders>
          </w:tcPr>
          <w:p w14:paraId="1A636B3D" w14:textId="77777777" w:rsidR="00CD702C" w:rsidRPr="00CD702C" w:rsidRDefault="00CD702C" w:rsidP="006D389B">
            <w:pPr>
              <w:pStyle w:val="wTableNormal"/>
              <w:jc w:val="center"/>
            </w:pPr>
            <w:r w:rsidRPr="00CD702C">
              <w:t>9.6</w:t>
            </w:r>
          </w:p>
        </w:tc>
        <w:tc>
          <w:tcPr>
            <w:tcW w:w="1256" w:type="dxa"/>
            <w:tcBorders>
              <w:top w:val="single" w:sz="6" w:space="0" w:color="auto"/>
              <w:left w:val="single" w:sz="6" w:space="0" w:color="auto"/>
              <w:bottom w:val="single" w:sz="6" w:space="0" w:color="auto"/>
              <w:right w:val="single" w:sz="6" w:space="0" w:color="auto"/>
            </w:tcBorders>
          </w:tcPr>
          <w:p w14:paraId="7315BCA1" w14:textId="77777777" w:rsidR="00CD702C" w:rsidRPr="00CD702C" w:rsidRDefault="00CD702C" w:rsidP="006D389B">
            <w:pPr>
              <w:pStyle w:val="wTableNormal"/>
              <w:jc w:val="center"/>
            </w:pPr>
            <w:r w:rsidRPr="00CD702C">
              <w:t>108</w:t>
            </w:r>
          </w:p>
        </w:tc>
        <w:tc>
          <w:tcPr>
            <w:tcW w:w="1457" w:type="dxa"/>
            <w:gridSpan w:val="2"/>
            <w:tcBorders>
              <w:top w:val="single" w:sz="6" w:space="0" w:color="auto"/>
              <w:left w:val="single" w:sz="6" w:space="0" w:color="auto"/>
              <w:bottom w:val="single" w:sz="6" w:space="0" w:color="auto"/>
            </w:tcBorders>
          </w:tcPr>
          <w:p w14:paraId="23F2528B" w14:textId="77777777" w:rsidR="00CD702C" w:rsidRPr="00CD702C" w:rsidRDefault="00CD702C" w:rsidP="006D389B">
            <w:pPr>
              <w:pStyle w:val="wTableNormal"/>
              <w:jc w:val="center"/>
            </w:pPr>
            <w:r w:rsidRPr="00CD702C">
              <w:t>3.7</w:t>
            </w:r>
          </w:p>
        </w:tc>
      </w:tr>
      <w:tr w:rsidR="00CD702C" w:rsidRPr="006D389B" w14:paraId="2D398A39" w14:textId="77777777" w:rsidTr="006D389B">
        <w:trPr>
          <w:jc w:val="center"/>
        </w:trPr>
        <w:tc>
          <w:tcPr>
            <w:tcW w:w="1256" w:type="dxa"/>
            <w:tcBorders>
              <w:top w:val="single" w:sz="6" w:space="0" w:color="auto"/>
              <w:bottom w:val="single" w:sz="6" w:space="0" w:color="auto"/>
              <w:right w:val="single" w:sz="6" w:space="0" w:color="auto"/>
            </w:tcBorders>
          </w:tcPr>
          <w:p w14:paraId="4080F4BF" w14:textId="77777777" w:rsidR="00CD702C" w:rsidRPr="00CD702C" w:rsidRDefault="00CD702C" w:rsidP="006D389B">
            <w:pPr>
              <w:pStyle w:val="wTableNormal"/>
              <w:jc w:val="center"/>
            </w:pPr>
            <w:r w:rsidRPr="00CD702C">
              <w:t>78</w:t>
            </w:r>
          </w:p>
        </w:tc>
        <w:tc>
          <w:tcPr>
            <w:tcW w:w="1540" w:type="dxa"/>
            <w:tcBorders>
              <w:top w:val="single" w:sz="6" w:space="0" w:color="auto"/>
              <w:left w:val="single" w:sz="6" w:space="0" w:color="auto"/>
              <w:bottom w:val="single" w:sz="6" w:space="0" w:color="auto"/>
              <w:right w:val="single" w:sz="6" w:space="0" w:color="auto"/>
            </w:tcBorders>
          </w:tcPr>
          <w:p w14:paraId="2E3A2013" w14:textId="77777777" w:rsidR="00CD702C" w:rsidRPr="00CD702C" w:rsidRDefault="00CD702C" w:rsidP="006D389B">
            <w:pPr>
              <w:pStyle w:val="wTableNormal"/>
              <w:jc w:val="center"/>
            </w:pPr>
            <w:r w:rsidRPr="00CD702C">
              <w:t>20.3</w:t>
            </w:r>
          </w:p>
        </w:tc>
        <w:tc>
          <w:tcPr>
            <w:tcW w:w="1309" w:type="dxa"/>
            <w:tcBorders>
              <w:top w:val="single" w:sz="6" w:space="0" w:color="auto"/>
              <w:left w:val="single" w:sz="6" w:space="0" w:color="auto"/>
              <w:bottom w:val="single" w:sz="6" w:space="0" w:color="auto"/>
              <w:right w:val="single" w:sz="6" w:space="0" w:color="auto"/>
            </w:tcBorders>
          </w:tcPr>
          <w:p w14:paraId="06ED46D5" w14:textId="77777777" w:rsidR="00CD702C" w:rsidRPr="00CD702C" w:rsidRDefault="00CD702C" w:rsidP="006D389B">
            <w:pPr>
              <w:pStyle w:val="wTableNormal"/>
              <w:jc w:val="center"/>
            </w:pPr>
            <w:r w:rsidRPr="00CD702C">
              <w:t>94</w:t>
            </w:r>
          </w:p>
        </w:tc>
        <w:tc>
          <w:tcPr>
            <w:tcW w:w="1794" w:type="dxa"/>
            <w:tcBorders>
              <w:top w:val="single" w:sz="6" w:space="0" w:color="auto"/>
              <w:left w:val="single" w:sz="6" w:space="0" w:color="auto"/>
              <w:bottom w:val="single" w:sz="6" w:space="0" w:color="auto"/>
              <w:right w:val="single" w:sz="6" w:space="0" w:color="auto"/>
            </w:tcBorders>
          </w:tcPr>
          <w:p w14:paraId="57C30942" w14:textId="77777777" w:rsidR="00CD702C" w:rsidRPr="00CD702C" w:rsidRDefault="00CD702C" w:rsidP="006D389B">
            <w:pPr>
              <w:pStyle w:val="wTableNormal"/>
              <w:jc w:val="center"/>
            </w:pPr>
            <w:r w:rsidRPr="00CD702C">
              <w:t>9.1</w:t>
            </w:r>
          </w:p>
        </w:tc>
        <w:tc>
          <w:tcPr>
            <w:tcW w:w="1256" w:type="dxa"/>
            <w:tcBorders>
              <w:top w:val="single" w:sz="6" w:space="0" w:color="auto"/>
              <w:left w:val="single" w:sz="6" w:space="0" w:color="auto"/>
              <w:bottom w:val="single" w:sz="6" w:space="0" w:color="auto"/>
              <w:right w:val="single" w:sz="6" w:space="0" w:color="auto"/>
            </w:tcBorders>
          </w:tcPr>
          <w:p w14:paraId="7047056F" w14:textId="77777777" w:rsidR="00CD702C" w:rsidRPr="00CD702C" w:rsidRDefault="00CD702C" w:rsidP="006D389B">
            <w:pPr>
              <w:pStyle w:val="wTableNormal"/>
              <w:jc w:val="center"/>
            </w:pPr>
            <w:r w:rsidRPr="00CD702C">
              <w:t>109</w:t>
            </w:r>
          </w:p>
        </w:tc>
        <w:tc>
          <w:tcPr>
            <w:tcW w:w="1457" w:type="dxa"/>
            <w:gridSpan w:val="2"/>
            <w:tcBorders>
              <w:top w:val="single" w:sz="6" w:space="0" w:color="auto"/>
              <w:left w:val="single" w:sz="6" w:space="0" w:color="auto"/>
              <w:bottom w:val="single" w:sz="6" w:space="0" w:color="auto"/>
            </w:tcBorders>
          </w:tcPr>
          <w:p w14:paraId="6FA87912" w14:textId="77777777" w:rsidR="00CD702C" w:rsidRPr="00CD702C" w:rsidRDefault="00CD702C" w:rsidP="006D389B">
            <w:pPr>
              <w:pStyle w:val="wTableNormal"/>
              <w:jc w:val="center"/>
            </w:pPr>
            <w:r w:rsidRPr="00CD702C">
              <w:t>3.4</w:t>
            </w:r>
          </w:p>
        </w:tc>
      </w:tr>
      <w:tr w:rsidR="00CD702C" w:rsidRPr="006D389B" w14:paraId="1C632E72" w14:textId="77777777" w:rsidTr="006D389B">
        <w:trPr>
          <w:jc w:val="center"/>
        </w:trPr>
        <w:tc>
          <w:tcPr>
            <w:tcW w:w="1256" w:type="dxa"/>
            <w:tcBorders>
              <w:top w:val="single" w:sz="6" w:space="0" w:color="auto"/>
              <w:bottom w:val="single" w:sz="6" w:space="0" w:color="auto"/>
              <w:right w:val="single" w:sz="6" w:space="0" w:color="auto"/>
            </w:tcBorders>
          </w:tcPr>
          <w:p w14:paraId="137868BA" w14:textId="77777777" w:rsidR="00CD702C" w:rsidRPr="00CD702C" w:rsidRDefault="00CD702C" w:rsidP="006D389B">
            <w:pPr>
              <w:pStyle w:val="wTableNormal"/>
              <w:jc w:val="center"/>
            </w:pPr>
            <w:r w:rsidRPr="00CD702C">
              <w:t>79</w:t>
            </w:r>
          </w:p>
        </w:tc>
        <w:tc>
          <w:tcPr>
            <w:tcW w:w="1540" w:type="dxa"/>
            <w:tcBorders>
              <w:top w:val="single" w:sz="6" w:space="0" w:color="auto"/>
              <w:left w:val="single" w:sz="6" w:space="0" w:color="auto"/>
              <w:bottom w:val="single" w:sz="6" w:space="0" w:color="auto"/>
              <w:right w:val="single" w:sz="6" w:space="0" w:color="auto"/>
            </w:tcBorders>
          </w:tcPr>
          <w:p w14:paraId="0D566E02" w14:textId="77777777" w:rsidR="00CD702C" w:rsidRPr="00CD702C" w:rsidRDefault="00CD702C" w:rsidP="006D389B">
            <w:pPr>
              <w:pStyle w:val="wTableNormal"/>
              <w:jc w:val="center"/>
            </w:pPr>
            <w:r w:rsidRPr="00CD702C">
              <w:t>19.5</w:t>
            </w:r>
          </w:p>
        </w:tc>
        <w:tc>
          <w:tcPr>
            <w:tcW w:w="1309" w:type="dxa"/>
            <w:tcBorders>
              <w:top w:val="single" w:sz="6" w:space="0" w:color="auto"/>
              <w:left w:val="single" w:sz="6" w:space="0" w:color="auto"/>
              <w:bottom w:val="single" w:sz="6" w:space="0" w:color="auto"/>
              <w:right w:val="single" w:sz="6" w:space="0" w:color="auto"/>
            </w:tcBorders>
          </w:tcPr>
          <w:p w14:paraId="47C6EC50" w14:textId="77777777" w:rsidR="00CD702C" w:rsidRPr="00CD702C" w:rsidRDefault="00CD702C" w:rsidP="006D389B">
            <w:pPr>
              <w:pStyle w:val="wTableNormal"/>
              <w:jc w:val="center"/>
            </w:pPr>
            <w:r w:rsidRPr="00CD702C">
              <w:t>95</w:t>
            </w:r>
          </w:p>
        </w:tc>
        <w:tc>
          <w:tcPr>
            <w:tcW w:w="1794" w:type="dxa"/>
            <w:tcBorders>
              <w:top w:val="single" w:sz="6" w:space="0" w:color="auto"/>
              <w:left w:val="single" w:sz="6" w:space="0" w:color="auto"/>
              <w:bottom w:val="single" w:sz="6" w:space="0" w:color="auto"/>
              <w:right w:val="single" w:sz="6" w:space="0" w:color="auto"/>
            </w:tcBorders>
          </w:tcPr>
          <w:p w14:paraId="35648BA2" w14:textId="77777777" w:rsidR="00CD702C" w:rsidRPr="00CD702C" w:rsidRDefault="00CD702C" w:rsidP="006D389B">
            <w:pPr>
              <w:pStyle w:val="wTableNormal"/>
              <w:jc w:val="center"/>
            </w:pPr>
            <w:r w:rsidRPr="00CD702C">
              <w:t>8.6</w:t>
            </w:r>
          </w:p>
        </w:tc>
        <w:tc>
          <w:tcPr>
            <w:tcW w:w="1256" w:type="dxa"/>
            <w:tcBorders>
              <w:top w:val="single" w:sz="6" w:space="0" w:color="auto"/>
              <w:left w:val="single" w:sz="6" w:space="0" w:color="auto"/>
              <w:bottom w:val="single" w:sz="6" w:space="0" w:color="auto"/>
              <w:right w:val="single" w:sz="6" w:space="0" w:color="auto"/>
            </w:tcBorders>
          </w:tcPr>
          <w:p w14:paraId="6D4DA622" w14:textId="77777777" w:rsidR="00CD702C" w:rsidRPr="00CD702C" w:rsidRDefault="00CD702C" w:rsidP="006D389B">
            <w:pPr>
              <w:pStyle w:val="wTableNormal"/>
              <w:jc w:val="center"/>
            </w:pPr>
            <w:r w:rsidRPr="00CD702C">
              <w:t>110</w:t>
            </w:r>
          </w:p>
        </w:tc>
        <w:tc>
          <w:tcPr>
            <w:tcW w:w="1457" w:type="dxa"/>
            <w:gridSpan w:val="2"/>
            <w:tcBorders>
              <w:top w:val="single" w:sz="6" w:space="0" w:color="auto"/>
              <w:left w:val="single" w:sz="6" w:space="0" w:color="auto"/>
              <w:bottom w:val="single" w:sz="6" w:space="0" w:color="auto"/>
            </w:tcBorders>
          </w:tcPr>
          <w:p w14:paraId="56EB4FD9" w14:textId="77777777" w:rsidR="00CD702C" w:rsidRPr="00CD702C" w:rsidRDefault="00CD702C" w:rsidP="006D389B">
            <w:pPr>
              <w:pStyle w:val="wTableNormal"/>
              <w:jc w:val="center"/>
            </w:pPr>
            <w:r w:rsidRPr="00CD702C">
              <w:t>3.1</w:t>
            </w:r>
          </w:p>
        </w:tc>
      </w:tr>
      <w:tr w:rsidR="00CD702C" w:rsidRPr="006D389B" w14:paraId="3A0816FD" w14:textId="77777777" w:rsidTr="006D389B">
        <w:trPr>
          <w:jc w:val="center"/>
        </w:trPr>
        <w:tc>
          <w:tcPr>
            <w:tcW w:w="1256" w:type="dxa"/>
            <w:tcBorders>
              <w:top w:val="single" w:sz="6" w:space="0" w:color="auto"/>
              <w:bottom w:val="single" w:sz="6" w:space="0" w:color="auto"/>
              <w:right w:val="single" w:sz="6" w:space="0" w:color="auto"/>
            </w:tcBorders>
          </w:tcPr>
          <w:p w14:paraId="23F9937F" w14:textId="77777777" w:rsidR="00CD702C" w:rsidRPr="00CD702C" w:rsidRDefault="00CD702C" w:rsidP="006D389B">
            <w:pPr>
              <w:pStyle w:val="wTableNormal"/>
              <w:jc w:val="center"/>
            </w:pPr>
            <w:r w:rsidRPr="00CD702C">
              <w:t>80</w:t>
            </w:r>
          </w:p>
        </w:tc>
        <w:tc>
          <w:tcPr>
            <w:tcW w:w="1540" w:type="dxa"/>
            <w:tcBorders>
              <w:top w:val="single" w:sz="6" w:space="0" w:color="auto"/>
              <w:left w:val="single" w:sz="6" w:space="0" w:color="auto"/>
              <w:bottom w:val="single" w:sz="6" w:space="0" w:color="auto"/>
              <w:right w:val="single" w:sz="6" w:space="0" w:color="auto"/>
            </w:tcBorders>
          </w:tcPr>
          <w:p w14:paraId="389C3EF0" w14:textId="77777777" w:rsidR="00CD702C" w:rsidRPr="00CD702C" w:rsidRDefault="00CD702C" w:rsidP="006D389B">
            <w:pPr>
              <w:pStyle w:val="wTableNormal"/>
              <w:jc w:val="center"/>
            </w:pPr>
            <w:r w:rsidRPr="00CD702C">
              <w:t>18.7</w:t>
            </w:r>
          </w:p>
        </w:tc>
        <w:tc>
          <w:tcPr>
            <w:tcW w:w="1309" w:type="dxa"/>
            <w:tcBorders>
              <w:top w:val="single" w:sz="6" w:space="0" w:color="auto"/>
              <w:left w:val="single" w:sz="6" w:space="0" w:color="auto"/>
              <w:bottom w:val="single" w:sz="6" w:space="0" w:color="auto"/>
              <w:right w:val="single" w:sz="6" w:space="0" w:color="auto"/>
            </w:tcBorders>
          </w:tcPr>
          <w:p w14:paraId="5D2741D2" w14:textId="77777777" w:rsidR="00CD702C" w:rsidRPr="00CD702C" w:rsidRDefault="00CD702C" w:rsidP="006D389B">
            <w:pPr>
              <w:pStyle w:val="wTableNormal"/>
              <w:jc w:val="center"/>
            </w:pPr>
            <w:r w:rsidRPr="00CD702C">
              <w:t>96</w:t>
            </w:r>
          </w:p>
        </w:tc>
        <w:tc>
          <w:tcPr>
            <w:tcW w:w="1794" w:type="dxa"/>
            <w:tcBorders>
              <w:top w:val="single" w:sz="6" w:space="0" w:color="auto"/>
              <w:left w:val="single" w:sz="6" w:space="0" w:color="auto"/>
              <w:bottom w:val="single" w:sz="6" w:space="0" w:color="auto"/>
              <w:right w:val="single" w:sz="6" w:space="0" w:color="auto"/>
            </w:tcBorders>
          </w:tcPr>
          <w:p w14:paraId="4614FDD0" w14:textId="77777777" w:rsidR="00CD702C" w:rsidRPr="00CD702C" w:rsidRDefault="00CD702C" w:rsidP="006D389B">
            <w:pPr>
              <w:pStyle w:val="wTableNormal"/>
              <w:jc w:val="center"/>
            </w:pPr>
            <w:r w:rsidRPr="00CD702C">
              <w:t>8.1</w:t>
            </w:r>
          </w:p>
        </w:tc>
        <w:tc>
          <w:tcPr>
            <w:tcW w:w="1256" w:type="dxa"/>
            <w:tcBorders>
              <w:top w:val="single" w:sz="6" w:space="0" w:color="auto"/>
              <w:left w:val="single" w:sz="6" w:space="0" w:color="auto"/>
              <w:bottom w:val="single" w:sz="6" w:space="0" w:color="auto"/>
              <w:right w:val="single" w:sz="6" w:space="0" w:color="auto"/>
            </w:tcBorders>
          </w:tcPr>
          <w:p w14:paraId="2E59FD50" w14:textId="77777777" w:rsidR="00CD702C" w:rsidRPr="00CD702C" w:rsidRDefault="00CD702C" w:rsidP="006D389B">
            <w:pPr>
              <w:pStyle w:val="wTableNormal"/>
              <w:jc w:val="center"/>
            </w:pPr>
            <w:r w:rsidRPr="00CD702C">
              <w:t>111</w:t>
            </w:r>
          </w:p>
        </w:tc>
        <w:tc>
          <w:tcPr>
            <w:tcW w:w="1457" w:type="dxa"/>
            <w:gridSpan w:val="2"/>
            <w:tcBorders>
              <w:top w:val="single" w:sz="6" w:space="0" w:color="auto"/>
              <w:left w:val="single" w:sz="6" w:space="0" w:color="auto"/>
              <w:bottom w:val="single" w:sz="6" w:space="0" w:color="auto"/>
            </w:tcBorders>
          </w:tcPr>
          <w:p w14:paraId="4D57BD5A" w14:textId="77777777" w:rsidR="00CD702C" w:rsidRPr="00CD702C" w:rsidRDefault="00CD702C" w:rsidP="006D389B">
            <w:pPr>
              <w:pStyle w:val="wTableNormal"/>
              <w:jc w:val="center"/>
            </w:pPr>
            <w:r w:rsidRPr="00CD702C">
              <w:t>2.9</w:t>
            </w:r>
          </w:p>
        </w:tc>
      </w:tr>
      <w:tr w:rsidR="00CD702C" w:rsidRPr="006D389B" w14:paraId="136A27DB" w14:textId="77777777" w:rsidTr="006D389B">
        <w:trPr>
          <w:jc w:val="center"/>
        </w:trPr>
        <w:tc>
          <w:tcPr>
            <w:tcW w:w="1256" w:type="dxa"/>
            <w:tcBorders>
              <w:top w:val="single" w:sz="6" w:space="0" w:color="auto"/>
              <w:bottom w:val="single" w:sz="6" w:space="0" w:color="auto"/>
              <w:right w:val="single" w:sz="6" w:space="0" w:color="auto"/>
            </w:tcBorders>
          </w:tcPr>
          <w:p w14:paraId="6366B3F6" w14:textId="77777777" w:rsidR="00CD702C" w:rsidRPr="00CD702C" w:rsidRDefault="00CD702C" w:rsidP="006D389B">
            <w:pPr>
              <w:pStyle w:val="wTableNormal"/>
              <w:jc w:val="center"/>
            </w:pPr>
            <w:r w:rsidRPr="00CD702C">
              <w:t>81</w:t>
            </w:r>
          </w:p>
        </w:tc>
        <w:tc>
          <w:tcPr>
            <w:tcW w:w="1540" w:type="dxa"/>
            <w:tcBorders>
              <w:top w:val="single" w:sz="6" w:space="0" w:color="auto"/>
              <w:left w:val="single" w:sz="6" w:space="0" w:color="auto"/>
              <w:bottom w:val="single" w:sz="6" w:space="0" w:color="auto"/>
              <w:right w:val="single" w:sz="6" w:space="0" w:color="auto"/>
            </w:tcBorders>
          </w:tcPr>
          <w:p w14:paraId="7612CC37" w14:textId="77777777" w:rsidR="00CD702C" w:rsidRPr="00CD702C" w:rsidRDefault="00CD702C" w:rsidP="006D389B">
            <w:pPr>
              <w:pStyle w:val="wTableNormal"/>
              <w:jc w:val="center"/>
            </w:pPr>
            <w:r w:rsidRPr="00CD702C">
              <w:t>17.9</w:t>
            </w:r>
          </w:p>
        </w:tc>
        <w:tc>
          <w:tcPr>
            <w:tcW w:w="1309" w:type="dxa"/>
            <w:tcBorders>
              <w:top w:val="single" w:sz="6" w:space="0" w:color="auto"/>
              <w:left w:val="single" w:sz="6" w:space="0" w:color="auto"/>
              <w:bottom w:val="single" w:sz="6" w:space="0" w:color="auto"/>
              <w:right w:val="single" w:sz="6" w:space="0" w:color="auto"/>
            </w:tcBorders>
          </w:tcPr>
          <w:p w14:paraId="4A3150BE" w14:textId="77777777" w:rsidR="00CD702C" w:rsidRPr="00CD702C" w:rsidRDefault="00CD702C" w:rsidP="006D389B">
            <w:pPr>
              <w:pStyle w:val="wTableNormal"/>
              <w:jc w:val="center"/>
            </w:pPr>
            <w:r w:rsidRPr="00CD702C">
              <w:t>97</w:t>
            </w:r>
          </w:p>
        </w:tc>
        <w:tc>
          <w:tcPr>
            <w:tcW w:w="1794" w:type="dxa"/>
            <w:tcBorders>
              <w:top w:val="single" w:sz="6" w:space="0" w:color="auto"/>
              <w:left w:val="single" w:sz="6" w:space="0" w:color="auto"/>
              <w:bottom w:val="single" w:sz="6" w:space="0" w:color="auto"/>
              <w:right w:val="single" w:sz="6" w:space="0" w:color="auto"/>
            </w:tcBorders>
          </w:tcPr>
          <w:p w14:paraId="60F35F1D" w14:textId="77777777" w:rsidR="00CD702C" w:rsidRPr="00CD702C" w:rsidRDefault="00CD702C" w:rsidP="006D389B">
            <w:pPr>
              <w:pStyle w:val="wTableNormal"/>
              <w:jc w:val="center"/>
            </w:pPr>
            <w:r w:rsidRPr="00CD702C">
              <w:t>7.6</w:t>
            </w:r>
          </w:p>
        </w:tc>
        <w:tc>
          <w:tcPr>
            <w:tcW w:w="1256" w:type="dxa"/>
            <w:tcBorders>
              <w:top w:val="single" w:sz="6" w:space="0" w:color="auto"/>
              <w:left w:val="single" w:sz="6" w:space="0" w:color="auto"/>
              <w:bottom w:val="single" w:sz="6" w:space="0" w:color="auto"/>
              <w:right w:val="single" w:sz="6" w:space="0" w:color="auto"/>
            </w:tcBorders>
          </w:tcPr>
          <w:p w14:paraId="7394D06C" w14:textId="77777777" w:rsidR="00CD702C" w:rsidRPr="00CD702C" w:rsidRDefault="00CD702C" w:rsidP="006D389B">
            <w:pPr>
              <w:pStyle w:val="wTableNormal"/>
              <w:jc w:val="center"/>
            </w:pPr>
            <w:r w:rsidRPr="00CD702C">
              <w:t>112</w:t>
            </w:r>
          </w:p>
        </w:tc>
        <w:tc>
          <w:tcPr>
            <w:tcW w:w="1457" w:type="dxa"/>
            <w:gridSpan w:val="2"/>
            <w:tcBorders>
              <w:top w:val="single" w:sz="6" w:space="0" w:color="auto"/>
              <w:left w:val="single" w:sz="6" w:space="0" w:color="auto"/>
              <w:bottom w:val="single" w:sz="6" w:space="0" w:color="auto"/>
            </w:tcBorders>
          </w:tcPr>
          <w:p w14:paraId="2F0CA6DD" w14:textId="77777777" w:rsidR="00CD702C" w:rsidRPr="00CD702C" w:rsidRDefault="00CD702C" w:rsidP="006D389B">
            <w:pPr>
              <w:pStyle w:val="wTableNormal"/>
              <w:jc w:val="center"/>
            </w:pPr>
            <w:r w:rsidRPr="00CD702C">
              <w:t>2.6</w:t>
            </w:r>
          </w:p>
        </w:tc>
      </w:tr>
      <w:tr w:rsidR="00CD702C" w:rsidRPr="006D389B" w14:paraId="788EE918" w14:textId="77777777" w:rsidTr="006D389B">
        <w:trPr>
          <w:jc w:val="center"/>
        </w:trPr>
        <w:tc>
          <w:tcPr>
            <w:tcW w:w="1256" w:type="dxa"/>
            <w:tcBorders>
              <w:top w:val="single" w:sz="6" w:space="0" w:color="auto"/>
              <w:bottom w:val="single" w:sz="6" w:space="0" w:color="auto"/>
              <w:right w:val="single" w:sz="6" w:space="0" w:color="auto"/>
            </w:tcBorders>
          </w:tcPr>
          <w:p w14:paraId="6A87BF8B" w14:textId="77777777" w:rsidR="00CD702C" w:rsidRPr="00CD702C" w:rsidRDefault="00CD702C" w:rsidP="006D389B">
            <w:pPr>
              <w:pStyle w:val="wTableNormal"/>
              <w:jc w:val="center"/>
            </w:pPr>
            <w:r w:rsidRPr="00CD702C">
              <w:t>82</w:t>
            </w:r>
          </w:p>
        </w:tc>
        <w:tc>
          <w:tcPr>
            <w:tcW w:w="1540" w:type="dxa"/>
            <w:tcBorders>
              <w:top w:val="single" w:sz="6" w:space="0" w:color="auto"/>
              <w:left w:val="single" w:sz="6" w:space="0" w:color="auto"/>
              <w:bottom w:val="single" w:sz="6" w:space="0" w:color="auto"/>
              <w:right w:val="single" w:sz="6" w:space="0" w:color="auto"/>
            </w:tcBorders>
          </w:tcPr>
          <w:p w14:paraId="74CC202B" w14:textId="77777777" w:rsidR="00CD702C" w:rsidRPr="00CD702C" w:rsidRDefault="00CD702C" w:rsidP="006D389B">
            <w:pPr>
              <w:pStyle w:val="wTableNormal"/>
              <w:jc w:val="center"/>
            </w:pPr>
            <w:r w:rsidRPr="00CD702C">
              <w:t>17.1</w:t>
            </w:r>
          </w:p>
        </w:tc>
        <w:tc>
          <w:tcPr>
            <w:tcW w:w="1309" w:type="dxa"/>
            <w:tcBorders>
              <w:top w:val="single" w:sz="6" w:space="0" w:color="auto"/>
              <w:left w:val="single" w:sz="6" w:space="0" w:color="auto"/>
              <w:bottom w:val="single" w:sz="6" w:space="0" w:color="auto"/>
              <w:right w:val="single" w:sz="6" w:space="0" w:color="auto"/>
            </w:tcBorders>
          </w:tcPr>
          <w:p w14:paraId="55FB084E" w14:textId="77777777" w:rsidR="00CD702C" w:rsidRPr="00CD702C" w:rsidRDefault="00CD702C" w:rsidP="006D389B">
            <w:pPr>
              <w:pStyle w:val="wTableNormal"/>
              <w:jc w:val="center"/>
            </w:pPr>
            <w:r w:rsidRPr="00CD702C">
              <w:t>98</w:t>
            </w:r>
          </w:p>
        </w:tc>
        <w:tc>
          <w:tcPr>
            <w:tcW w:w="1794" w:type="dxa"/>
            <w:tcBorders>
              <w:top w:val="single" w:sz="6" w:space="0" w:color="auto"/>
              <w:left w:val="single" w:sz="6" w:space="0" w:color="auto"/>
              <w:bottom w:val="single" w:sz="6" w:space="0" w:color="auto"/>
              <w:right w:val="single" w:sz="6" w:space="0" w:color="auto"/>
            </w:tcBorders>
          </w:tcPr>
          <w:p w14:paraId="1A7A8DC0" w14:textId="77777777" w:rsidR="00CD702C" w:rsidRPr="00CD702C" w:rsidRDefault="00CD702C" w:rsidP="006D389B">
            <w:pPr>
              <w:pStyle w:val="wTableNormal"/>
              <w:jc w:val="center"/>
            </w:pPr>
            <w:r w:rsidRPr="00CD702C">
              <w:t>7.1</w:t>
            </w:r>
          </w:p>
        </w:tc>
        <w:tc>
          <w:tcPr>
            <w:tcW w:w="1256" w:type="dxa"/>
            <w:tcBorders>
              <w:top w:val="single" w:sz="6" w:space="0" w:color="auto"/>
              <w:left w:val="single" w:sz="6" w:space="0" w:color="auto"/>
              <w:bottom w:val="single" w:sz="6" w:space="0" w:color="auto"/>
              <w:right w:val="single" w:sz="6" w:space="0" w:color="auto"/>
            </w:tcBorders>
          </w:tcPr>
          <w:p w14:paraId="6A9CCA6D" w14:textId="77777777" w:rsidR="00CD702C" w:rsidRPr="00CD702C" w:rsidRDefault="00CD702C" w:rsidP="006D389B">
            <w:pPr>
              <w:pStyle w:val="wTableNormal"/>
              <w:jc w:val="center"/>
            </w:pPr>
            <w:r w:rsidRPr="00CD702C">
              <w:t>113</w:t>
            </w:r>
          </w:p>
        </w:tc>
        <w:tc>
          <w:tcPr>
            <w:tcW w:w="1457" w:type="dxa"/>
            <w:gridSpan w:val="2"/>
            <w:tcBorders>
              <w:top w:val="single" w:sz="6" w:space="0" w:color="auto"/>
              <w:left w:val="single" w:sz="6" w:space="0" w:color="auto"/>
              <w:bottom w:val="single" w:sz="6" w:space="0" w:color="auto"/>
            </w:tcBorders>
          </w:tcPr>
          <w:p w14:paraId="1C0EA2F9" w14:textId="77777777" w:rsidR="00CD702C" w:rsidRPr="00CD702C" w:rsidRDefault="00CD702C" w:rsidP="006D389B">
            <w:pPr>
              <w:pStyle w:val="wTableNormal"/>
              <w:jc w:val="center"/>
            </w:pPr>
            <w:r w:rsidRPr="00CD702C">
              <w:t>2.4</w:t>
            </w:r>
          </w:p>
        </w:tc>
      </w:tr>
      <w:tr w:rsidR="00CD702C" w:rsidRPr="006D389B" w14:paraId="0B2B0B77" w14:textId="77777777" w:rsidTr="006D389B">
        <w:trPr>
          <w:jc w:val="center"/>
        </w:trPr>
        <w:tc>
          <w:tcPr>
            <w:tcW w:w="1256" w:type="dxa"/>
            <w:tcBorders>
              <w:top w:val="single" w:sz="6" w:space="0" w:color="auto"/>
              <w:bottom w:val="single" w:sz="6" w:space="0" w:color="auto"/>
              <w:right w:val="single" w:sz="6" w:space="0" w:color="auto"/>
            </w:tcBorders>
          </w:tcPr>
          <w:p w14:paraId="1D91383B" w14:textId="77777777" w:rsidR="00CD702C" w:rsidRPr="00CD702C" w:rsidRDefault="00CD702C" w:rsidP="006D389B">
            <w:pPr>
              <w:pStyle w:val="wTableNormal"/>
              <w:jc w:val="center"/>
            </w:pPr>
            <w:r w:rsidRPr="00CD702C">
              <w:t>83</w:t>
            </w:r>
          </w:p>
        </w:tc>
        <w:tc>
          <w:tcPr>
            <w:tcW w:w="1540" w:type="dxa"/>
            <w:tcBorders>
              <w:top w:val="single" w:sz="6" w:space="0" w:color="auto"/>
              <w:left w:val="single" w:sz="6" w:space="0" w:color="auto"/>
              <w:bottom w:val="single" w:sz="6" w:space="0" w:color="auto"/>
              <w:right w:val="single" w:sz="6" w:space="0" w:color="auto"/>
            </w:tcBorders>
          </w:tcPr>
          <w:p w14:paraId="6726E24F" w14:textId="77777777" w:rsidR="00CD702C" w:rsidRPr="00CD702C" w:rsidRDefault="00CD702C" w:rsidP="006D389B">
            <w:pPr>
              <w:pStyle w:val="wTableNormal"/>
              <w:jc w:val="center"/>
            </w:pPr>
            <w:r w:rsidRPr="00CD702C">
              <w:t>16.3</w:t>
            </w:r>
          </w:p>
        </w:tc>
        <w:tc>
          <w:tcPr>
            <w:tcW w:w="1309" w:type="dxa"/>
            <w:tcBorders>
              <w:top w:val="single" w:sz="6" w:space="0" w:color="auto"/>
              <w:left w:val="single" w:sz="6" w:space="0" w:color="auto"/>
              <w:bottom w:val="single" w:sz="6" w:space="0" w:color="auto"/>
              <w:right w:val="single" w:sz="6" w:space="0" w:color="auto"/>
            </w:tcBorders>
          </w:tcPr>
          <w:p w14:paraId="59C4D75A" w14:textId="77777777" w:rsidR="00CD702C" w:rsidRPr="00CD702C" w:rsidRDefault="00CD702C" w:rsidP="006D389B">
            <w:pPr>
              <w:pStyle w:val="wTableNormal"/>
              <w:jc w:val="center"/>
            </w:pPr>
            <w:r w:rsidRPr="00CD702C">
              <w:t>99</w:t>
            </w:r>
          </w:p>
        </w:tc>
        <w:tc>
          <w:tcPr>
            <w:tcW w:w="1794" w:type="dxa"/>
            <w:tcBorders>
              <w:top w:val="single" w:sz="6" w:space="0" w:color="auto"/>
              <w:left w:val="single" w:sz="6" w:space="0" w:color="auto"/>
              <w:bottom w:val="single" w:sz="6" w:space="0" w:color="auto"/>
              <w:right w:val="single" w:sz="6" w:space="0" w:color="auto"/>
            </w:tcBorders>
          </w:tcPr>
          <w:p w14:paraId="6F866BB0" w14:textId="77777777" w:rsidR="00CD702C" w:rsidRPr="00CD702C" w:rsidRDefault="00CD702C" w:rsidP="006D389B">
            <w:pPr>
              <w:pStyle w:val="wTableNormal"/>
              <w:jc w:val="center"/>
            </w:pPr>
            <w:r w:rsidRPr="00CD702C">
              <w:t>6.7</w:t>
            </w:r>
          </w:p>
        </w:tc>
        <w:tc>
          <w:tcPr>
            <w:tcW w:w="1256" w:type="dxa"/>
            <w:tcBorders>
              <w:top w:val="single" w:sz="6" w:space="0" w:color="auto"/>
              <w:left w:val="single" w:sz="6" w:space="0" w:color="auto"/>
              <w:bottom w:val="single" w:sz="6" w:space="0" w:color="auto"/>
              <w:right w:val="single" w:sz="6" w:space="0" w:color="auto"/>
            </w:tcBorders>
          </w:tcPr>
          <w:p w14:paraId="12DE3088" w14:textId="77777777" w:rsidR="00CD702C" w:rsidRPr="00CD702C" w:rsidRDefault="00CD702C" w:rsidP="006D389B">
            <w:pPr>
              <w:pStyle w:val="wTableNormal"/>
              <w:jc w:val="center"/>
            </w:pPr>
            <w:r w:rsidRPr="00CD702C">
              <w:t>114</w:t>
            </w:r>
          </w:p>
        </w:tc>
        <w:tc>
          <w:tcPr>
            <w:tcW w:w="1457" w:type="dxa"/>
            <w:gridSpan w:val="2"/>
            <w:tcBorders>
              <w:top w:val="single" w:sz="6" w:space="0" w:color="auto"/>
              <w:left w:val="single" w:sz="6" w:space="0" w:color="auto"/>
              <w:bottom w:val="single" w:sz="6" w:space="0" w:color="auto"/>
            </w:tcBorders>
          </w:tcPr>
          <w:p w14:paraId="70F892F7" w14:textId="77777777" w:rsidR="00CD702C" w:rsidRPr="00CD702C" w:rsidRDefault="00CD702C" w:rsidP="006D389B">
            <w:pPr>
              <w:pStyle w:val="wTableNormal"/>
              <w:jc w:val="center"/>
            </w:pPr>
            <w:r w:rsidRPr="00CD702C">
              <w:t>2.1</w:t>
            </w:r>
          </w:p>
        </w:tc>
      </w:tr>
      <w:tr w:rsidR="00CD702C" w:rsidRPr="006D389B" w14:paraId="156948DC" w14:textId="77777777" w:rsidTr="006D389B">
        <w:trPr>
          <w:jc w:val="center"/>
        </w:trPr>
        <w:tc>
          <w:tcPr>
            <w:tcW w:w="1256" w:type="dxa"/>
            <w:tcBorders>
              <w:top w:val="single" w:sz="6" w:space="0" w:color="auto"/>
              <w:bottom w:val="single" w:sz="6" w:space="0" w:color="auto"/>
              <w:right w:val="single" w:sz="6" w:space="0" w:color="auto"/>
            </w:tcBorders>
          </w:tcPr>
          <w:p w14:paraId="0D637FEB" w14:textId="77777777" w:rsidR="00CD702C" w:rsidRPr="00CD702C" w:rsidRDefault="00CD702C" w:rsidP="006D389B">
            <w:pPr>
              <w:pStyle w:val="wTableNormal"/>
              <w:jc w:val="center"/>
            </w:pPr>
            <w:r w:rsidRPr="00CD702C">
              <w:t>84</w:t>
            </w:r>
          </w:p>
        </w:tc>
        <w:tc>
          <w:tcPr>
            <w:tcW w:w="1540" w:type="dxa"/>
            <w:tcBorders>
              <w:top w:val="single" w:sz="6" w:space="0" w:color="auto"/>
              <w:left w:val="single" w:sz="6" w:space="0" w:color="auto"/>
              <w:bottom w:val="single" w:sz="6" w:space="0" w:color="auto"/>
              <w:right w:val="single" w:sz="6" w:space="0" w:color="auto"/>
            </w:tcBorders>
          </w:tcPr>
          <w:p w14:paraId="3D2F09E0" w14:textId="77777777" w:rsidR="00CD702C" w:rsidRPr="00CD702C" w:rsidRDefault="00CD702C" w:rsidP="006D389B">
            <w:pPr>
              <w:pStyle w:val="wTableNormal"/>
              <w:jc w:val="center"/>
            </w:pPr>
            <w:r w:rsidRPr="00CD702C">
              <w:t>15.5</w:t>
            </w:r>
          </w:p>
        </w:tc>
        <w:tc>
          <w:tcPr>
            <w:tcW w:w="1309" w:type="dxa"/>
            <w:tcBorders>
              <w:top w:val="single" w:sz="6" w:space="0" w:color="auto"/>
              <w:left w:val="single" w:sz="6" w:space="0" w:color="auto"/>
              <w:bottom w:val="single" w:sz="6" w:space="0" w:color="auto"/>
              <w:right w:val="single" w:sz="6" w:space="0" w:color="auto"/>
            </w:tcBorders>
          </w:tcPr>
          <w:p w14:paraId="509AB65C" w14:textId="77777777" w:rsidR="00CD702C" w:rsidRPr="00CD702C" w:rsidRDefault="00CD702C" w:rsidP="006D389B">
            <w:pPr>
              <w:pStyle w:val="wTableNormal"/>
              <w:jc w:val="center"/>
            </w:pPr>
            <w:r w:rsidRPr="00CD702C">
              <w:t>100</w:t>
            </w:r>
          </w:p>
        </w:tc>
        <w:tc>
          <w:tcPr>
            <w:tcW w:w="1794" w:type="dxa"/>
            <w:tcBorders>
              <w:top w:val="single" w:sz="6" w:space="0" w:color="auto"/>
              <w:left w:val="single" w:sz="6" w:space="0" w:color="auto"/>
              <w:bottom w:val="single" w:sz="6" w:space="0" w:color="auto"/>
              <w:right w:val="single" w:sz="6" w:space="0" w:color="auto"/>
            </w:tcBorders>
          </w:tcPr>
          <w:p w14:paraId="5A52B50C" w14:textId="77777777" w:rsidR="00CD702C" w:rsidRPr="00CD702C" w:rsidRDefault="00CD702C" w:rsidP="006D389B">
            <w:pPr>
              <w:pStyle w:val="wTableNormal"/>
              <w:jc w:val="center"/>
            </w:pPr>
            <w:r w:rsidRPr="00CD702C">
              <w:t>6.3</w:t>
            </w:r>
          </w:p>
        </w:tc>
        <w:tc>
          <w:tcPr>
            <w:tcW w:w="1256" w:type="dxa"/>
            <w:tcBorders>
              <w:top w:val="single" w:sz="6" w:space="0" w:color="auto"/>
              <w:left w:val="single" w:sz="6" w:space="0" w:color="auto"/>
              <w:bottom w:val="single" w:sz="6" w:space="0" w:color="auto"/>
              <w:right w:val="single" w:sz="6" w:space="0" w:color="auto"/>
            </w:tcBorders>
          </w:tcPr>
          <w:p w14:paraId="31F86E18" w14:textId="77777777" w:rsidR="00CD702C" w:rsidRPr="00CD702C" w:rsidRDefault="00CD702C" w:rsidP="006D389B">
            <w:pPr>
              <w:pStyle w:val="wTableNormal"/>
              <w:jc w:val="center"/>
            </w:pPr>
            <w:r w:rsidRPr="00CD702C">
              <w:t>115</w:t>
            </w:r>
          </w:p>
        </w:tc>
        <w:tc>
          <w:tcPr>
            <w:tcW w:w="1457" w:type="dxa"/>
            <w:gridSpan w:val="2"/>
            <w:tcBorders>
              <w:top w:val="single" w:sz="6" w:space="0" w:color="auto"/>
              <w:left w:val="single" w:sz="6" w:space="0" w:color="auto"/>
              <w:bottom w:val="single" w:sz="6" w:space="0" w:color="auto"/>
            </w:tcBorders>
          </w:tcPr>
          <w:p w14:paraId="22A4554E" w14:textId="77777777" w:rsidR="00CD702C" w:rsidRPr="00CD702C" w:rsidRDefault="00CD702C" w:rsidP="006D389B">
            <w:pPr>
              <w:pStyle w:val="wTableNormal"/>
              <w:jc w:val="center"/>
            </w:pPr>
            <w:r w:rsidRPr="00CD702C">
              <w:t>1.9</w:t>
            </w:r>
          </w:p>
        </w:tc>
      </w:tr>
      <w:tr w:rsidR="00CD702C" w:rsidRPr="006D389B" w14:paraId="56FF7DD7" w14:textId="77777777" w:rsidTr="006D389B">
        <w:trPr>
          <w:jc w:val="center"/>
        </w:trPr>
        <w:tc>
          <w:tcPr>
            <w:tcW w:w="1256" w:type="dxa"/>
            <w:tcBorders>
              <w:top w:val="single" w:sz="6" w:space="0" w:color="auto"/>
              <w:right w:val="single" w:sz="6" w:space="0" w:color="auto"/>
            </w:tcBorders>
          </w:tcPr>
          <w:p w14:paraId="031CEA41" w14:textId="77777777" w:rsidR="00CD702C" w:rsidRPr="00CD702C" w:rsidRDefault="00CD702C" w:rsidP="006D389B">
            <w:pPr>
              <w:pStyle w:val="wTableNormal"/>
              <w:jc w:val="center"/>
            </w:pPr>
            <w:r w:rsidRPr="00CD702C">
              <w:t>85</w:t>
            </w:r>
          </w:p>
        </w:tc>
        <w:tc>
          <w:tcPr>
            <w:tcW w:w="1540" w:type="dxa"/>
            <w:tcBorders>
              <w:top w:val="single" w:sz="6" w:space="0" w:color="auto"/>
              <w:left w:val="single" w:sz="6" w:space="0" w:color="auto"/>
              <w:right w:val="single" w:sz="6" w:space="0" w:color="auto"/>
            </w:tcBorders>
          </w:tcPr>
          <w:p w14:paraId="07537A49" w14:textId="77777777" w:rsidR="00CD702C" w:rsidRPr="00CD702C" w:rsidRDefault="00CD702C" w:rsidP="006D389B">
            <w:pPr>
              <w:pStyle w:val="wTableNormal"/>
              <w:jc w:val="center"/>
            </w:pPr>
            <w:r w:rsidRPr="00CD702C">
              <w:t>14.8</w:t>
            </w:r>
          </w:p>
        </w:tc>
        <w:tc>
          <w:tcPr>
            <w:tcW w:w="1309" w:type="dxa"/>
            <w:tcBorders>
              <w:top w:val="single" w:sz="6" w:space="0" w:color="auto"/>
              <w:left w:val="single" w:sz="6" w:space="0" w:color="auto"/>
              <w:right w:val="single" w:sz="6" w:space="0" w:color="auto"/>
            </w:tcBorders>
          </w:tcPr>
          <w:p w14:paraId="2886FE9E" w14:textId="77777777" w:rsidR="00CD702C" w:rsidRPr="00CD702C" w:rsidRDefault="00CD702C" w:rsidP="006D389B">
            <w:pPr>
              <w:pStyle w:val="wTableNormal"/>
              <w:jc w:val="center"/>
            </w:pPr>
          </w:p>
        </w:tc>
        <w:tc>
          <w:tcPr>
            <w:tcW w:w="1794" w:type="dxa"/>
            <w:tcBorders>
              <w:top w:val="single" w:sz="6" w:space="0" w:color="auto"/>
              <w:left w:val="single" w:sz="6" w:space="0" w:color="auto"/>
              <w:right w:val="single" w:sz="6" w:space="0" w:color="auto"/>
            </w:tcBorders>
          </w:tcPr>
          <w:p w14:paraId="5DE2B16E" w14:textId="77777777" w:rsidR="00CD702C" w:rsidRPr="00CD702C" w:rsidRDefault="00CD702C" w:rsidP="006D389B">
            <w:pPr>
              <w:pStyle w:val="wTableNormal"/>
              <w:jc w:val="center"/>
            </w:pPr>
          </w:p>
        </w:tc>
        <w:tc>
          <w:tcPr>
            <w:tcW w:w="1256" w:type="dxa"/>
            <w:tcBorders>
              <w:top w:val="single" w:sz="6" w:space="0" w:color="auto"/>
              <w:left w:val="single" w:sz="6" w:space="0" w:color="auto"/>
              <w:right w:val="single" w:sz="6" w:space="0" w:color="auto"/>
            </w:tcBorders>
          </w:tcPr>
          <w:p w14:paraId="5CBDA2D6" w14:textId="77777777" w:rsidR="00CD702C" w:rsidRPr="00CD702C" w:rsidRDefault="00CD702C" w:rsidP="006D389B">
            <w:pPr>
              <w:pStyle w:val="wTableNormal"/>
              <w:jc w:val="center"/>
            </w:pPr>
          </w:p>
        </w:tc>
        <w:tc>
          <w:tcPr>
            <w:tcW w:w="1457" w:type="dxa"/>
            <w:gridSpan w:val="2"/>
            <w:tcBorders>
              <w:top w:val="single" w:sz="6" w:space="0" w:color="auto"/>
              <w:left w:val="single" w:sz="6" w:space="0" w:color="auto"/>
            </w:tcBorders>
          </w:tcPr>
          <w:p w14:paraId="721CD40A" w14:textId="77777777" w:rsidR="00CD702C" w:rsidRPr="00CD702C" w:rsidRDefault="00CD702C" w:rsidP="006D389B">
            <w:pPr>
              <w:pStyle w:val="wTableNormal"/>
              <w:jc w:val="center"/>
            </w:pPr>
          </w:p>
        </w:tc>
      </w:tr>
    </w:tbl>
    <w:p w14:paraId="228B84D6" w14:textId="77777777" w:rsidR="005B75C9" w:rsidRPr="0099630E" w:rsidRDefault="005200DF" w:rsidP="005B6340">
      <w:pPr>
        <w:pStyle w:val="Heading2"/>
        <w:rPr>
          <w:sz w:val="22"/>
          <w:szCs w:val="22"/>
        </w:rPr>
      </w:pPr>
      <w:bookmarkStart w:id="162" w:name="_Toc48025279"/>
      <w:bookmarkStart w:id="163" w:name="_Toc404357231"/>
      <w:r>
        <w:t xml:space="preserve">SEP </w:t>
      </w:r>
      <w:r w:rsidR="005B75C9" w:rsidRPr="0099630E">
        <w:t>Rollovers</w:t>
      </w:r>
      <w:bookmarkEnd w:id="162"/>
      <w:bookmarkEnd w:id="163"/>
    </w:p>
    <w:p w14:paraId="5D73D683" w14:textId="77777777" w:rsidR="00A005A9" w:rsidRDefault="0040055B" w:rsidP="00825E0B">
      <w:pPr>
        <w:rPr>
          <w:szCs w:val="22"/>
        </w:rPr>
      </w:pPr>
      <w:r>
        <w:rPr>
          <w:szCs w:val="22"/>
        </w:rPr>
        <w:t>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A005A9">
        <w:rPr>
          <w:szCs w:val="22"/>
        </w:rPr>
        <w:t>, except in the case of a rollover from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sidR="00A005A9">
        <w:rPr>
          <w:szCs w:val="22"/>
        </w:rPr>
        <w:t xml:space="preserve"> to a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sidR="00A005A9">
        <w:rPr>
          <w:szCs w:val="22"/>
        </w:rPr>
        <w:t xml:space="preserve">, </w:t>
      </w:r>
      <w:r>
        <w:rPr>
          <w:szCs w:val="22"/>
        </w:rPr>
        <w:t>is</w:t>
      </w:r>
      <w:r w:rsidR="00A005A9">
        <w:rPr>
          <w:szCs w:val="22"/>
        </w:rPr>
        <w:t xml:space="preserve"> generally done in order to maintain the tax-favored nature of the funds involved.</w:t>
      </w:r>
      <w:r w:rsidR="00297ACB">
        <w:rPr>
          <w:szCs w:val="22"/>
        </w:rPr>
        <w:t xml:space="preserve"> </w:t>
      </w:r>
      <w:r w:rsidR="00A005A9">
        <w:rPr>
          <w:szCs w:val="22"/>
        </w:rPr>
        <w:t xml:space="preserve">By rolling over the value of accounts to which before-tax contributions have been made, </w:t>
      </w:r>
      <w:r>
        <w:rPr>
          <w:szCs w:val="22"/>
        </w:rPr>
        <w:t xml:space="preserve">the account owner </w:t>
      </w:r>
      <w:r w:rsidR="00A005A9">
        <w:rPr>
          <w:szCs w:val="22"/>
        </w:rPr>
        <w:t>avoid</w:t>
      </w:r>
      <w:r>
        <w:rPr>
          <w:szCs w:val="22"/>
        </w:rPr>
        <w:t>s</w:t>
      </w:r>
      <w:r w:rsidR="00A005A9">
        <w:rPr>
          <w:szCs w:val="22"/>
        </w:rPr>
        <w:t xml:space="preserve"> inclusion of the distribution in his or her income</w:t>
      </w:r>
      <w:r w:rsidR="008859DA">
        <w:rPr>
          <w:szCs w:val="22"/>
        </w:rPr>
        <w:t xml:space="preserve"> in the year in which the rollover occurs</w:t>
      </w:r>
      <w:r w:rsidR="00A005A9">
        <w:rPr>
          <w:szCs w:val="22"/>
        </w:rPr>
        <w:t>.</w:t>
      </w:r>
      <w:r w:rsidR="00297ACB">
        <w:rPr>
          <w:szCs w:val="22"/>
        </w:rPr>
        <w:t xml:space="preserve"> </w:t>
      </w:r>
      <w:r w:rsidR="00A005A9">
        <w:rPr>
          <w:szCs w:val="22"/>
        </w:rPr>
        <w:t>Furthermore, the rolled over funds will continue to enjoy tax deferral of growth.</w:t>
      </w:r>
    </w:p>
    <w:p w14:paraId="3FF95873" w14:textId="77777777" w:rsidR="0040055B" w:rsidRDefault="00A005A9" w:rsidP="00825E0B">
      <w:pPr>
        <w:rPr>
          <w:szCs w:val="22"/>
        </w:rPr>
      </w:pPr>
      <w:r>
        <w:rPr>
          <w:szCs w:val="22"/>
        </w:rPr>
        <w:lastRenderedPageBreak/>
        <w:t>Rollovers that are accomplished on a trustee-to-trustee basis are generally considered transfers and may be done as frequently as the owner wishes.</w:t>
      </w:r>
      <w:r w:rsidR="00297ACB">
        <w:rPr>
          <w:szCs w:val="22"/>
        </w:rPr>
        <w:t xml:space="preserve"> </w:t>
      </w:r>
      <w:r>
        <w:rPr>
          <w:szCs w:val="22"/>
        </w:rPr>
        <w:t>Other rollovers involving a distribution to the employee have far more</w:t>
      </w:r>
      <w:r w:rsidR="0040055B">
        <w:rPr>
          <w:szCs w:val="22"/>
        </w:rPr>
        <w:t xml:space="preserve"> stringent rules.</w:t>
      </w:r>
      <w:r w:rsidR="00297ACB">
        <w:rPr>
          <w:szCs w:val="22"/>
        </w:rPr>
        <w:t xml:space="preserve"> </w:t>
      </w:r>
      <w:r w:rsidR="0040055B">
        <w:rPr>
          <w:szCs w:val="22"/>
        </w:rPr>
        <w:t>Specifically:</w:t>
      </w:r>
    </w:p>
    <w:p w14:paraId="5BC30D17" w14:textId="77777777" w:rsidR="0040055B" w:rsidRDefault="00782865" w:rsidP="007A5E54">
      <w:pPr>
        <w:numPr>
          <w:ilvl w:val="0"/>
          <w:numId w:val="46"/>
        </w:numPr>
        <w:contextualSpacing/>
        <w:rPr>
          <w:szCs w:val="22"/>
        </w:rPr>
      </w:pPr>
      <w:r>
        <w:rPr>
          <w:szCs w:val="22"/>
        </w:rPr>
        <w:t>Rollover</w:t>
      </w:r>
      <w:r w:rsidR="0040055B">
        <w:rPr>
          <w:szCs w:val="22"/>
        </w:rPr>
        <w:t>s</w:t>
      </w:r>
      <w:r w:rsidR="00A005A9">
        <w:rPr>
          <w:szCs w:val="22"/>
        </w:rPr>
        <w:t xml:space="preserve"> must be completed within 60 days of t</w:t>
      </w:r>
      <w:r w:rsidR="0040055B">
        <w:rPr>
          <w:szCs w:val="22"/>
        </w:rPr>
        <w:t>he distribution to the employee</w:t>
      </w:r>
      <w:r>
        <w:rPr>
          <w:szCs w:val="22"/>
        </w:rPr>
        <w:t>;</w:t>
      </w:r>
      <w:r w:rsidR="008D62EF">
        <w:rPr>
          <w:szCs w:val="22"/>
        </w:rPr>
        <w:t xml:space="preserve"> </w:t>
      </w:r>
      <w:r w:rsidR="00A005A9">
        <w:rPr>
          <w:szCs w:val="22"/>
        </w:rPr>
        <w:t>and</w:t>
      </w:r>
    </w:p>
    <w:p w14:paraId="64DA18F9" w14:textId="77777777" w:rsidR="00A005A9" w:rsidRDefault="00782865" w:rsidP="007A5E54">
      <w:pPr>
        <w:numPr>
          <w:ilvl w:val="0"/>
          <w:numId w:val="46"/>
        </w:numPr>
        <w:rPr>
          <w:szCs w:val="22"/>
        </w:rPr>
      </w:pPr>
      <w:r>
        <w:rPr>
          <w:szCs w:val="22"/>
        </w:rPr>
        <w:t>Only one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A005A9">
        <w:rPr>
          <w:szCs w:val="22"/>
        </w:rPr>
        <w:t xml:space="preserve"> may be done in any 12-month period.</w:t>
      </w:r>
    </w:p>
    <w:p w14:paraId="1DFCFEB2" w14:textId="77777777" w:rsidR="0040055B" w:rsidRDefault="0040055B" w:rsidP="00825E0B">
      <w:pPr>
        <w:rPr>
          <w:szCs w:val="22"/>
        </w:rPr>
      </w:pPr>
      <w:r>
        <w:rPr>
          <w:szCs w:val="22"/>
        </w:rPr>
        <w:t>SEP IRA rollovers are subject to the same rules that apply to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rollovers.</w:t>
      </w:r>
      <w:r w:rsidR="00297ACB">
        <w:rPr>
          <w:szCs w:val="22"/>
        </w:rPr>
        <w:t xml:space="preserve"> </w:t>
      </w:r>
      <w:r>
        <w:rPr>
          <w:szCs w:val="22"/>
        </w:rPr>
        <w:t>The plans to which SEP funds may be rolled over depend upon whether the funds involved are before-tax contributions or after-tax contributions</w:t>
      </w:r>
      <w:r w:rsidR="005200DF">
        <w:rPr>
          <w:szCs w:val="22"/>
        </w:rPr>
        <w:t>. 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sidR="005200DF">
        <w:rPr>
          <w:szCs w:val="22"/>
        </w:rPr>
        <w:t xml:space="preserve"> of SEP IRA earnings and before-tax contributions may be made to</w:t>
      </w:r>
      <w:r>
        <w:rPr>
          <w:szCs w:val="22"/>
        </w:rPr>
        <w:t>:</w:t>
      </w:r>
    </w:p>
    <w:p w14:paraId="0DC3BE45" w14:textId="77777777" w:rsidR="00455B1D" w:rsidRPr="00455B1D" w:rsidRDefault="00455B1D" w:rsidP="007A5E54">
      <w:pPr>
        <w:numPr>
          <w:ilvl w:val="0"/>
          <w:numId w:val="42"/>
        </w:numPr>
        <w:contextualSpacing/>
      </w:pPr>
      <w:r w:rsidRPr="00455B1D">
        <w:t>A qualified plan</w:t>
      </w:r>
      <w:r w:rsidR="003328AB">
        <w:t>;</w:t>
      </w:r>
    </w:p>
    <w:p w14:paraId="29671B1C" w14:textId="77777777" w:rsidR="00455B1D" w:rsidRPr="00455B1D" w:rsidRDefault="00455B1D" w:rsidP="007A5E54">
      <w:pPr>
        <w:numPr>
          <w:ilvl w:val="0"/>
          <w:numId w:val="42"/>
        </w:numPr>
        <w:contextualSpacing/>
      </w:pPr>
      <w:r w:rsidRPr="00455B1D">
        <w:t>A §403(b) tax-sheltered annuity</w:t>
      </w:r>
      <w:r w:rsidR="003328AB">
        <w:t>;</w:t>
      </w:r>
    </w:p>
    <w:p w14:paraId="7387C3EE" w14:textId="77777777" w:rsidR="00455B1D" w:rsidRPr="00455B1D" w:rsidRDefault="00455B1D" w:rsidP="007A5E54">
      <w:pPr>
        <w:numPr>
          <w:ilvl w:val="0"/>
          <w:numId w:val="42"/>
        </w:numPr>
        <w:contextualSpacing/>
      </w:pPr>
      <w:r w:rsidRPr="00455B1D">
        <w:t>A §457 governmental plan (that agrees to separately account for eligible retirement plan funds)</w:t>
      </w:r>
      <w:r w:rsidR="003328AB">
        <w:t>;</w:t>
      </w:r>
    </w:p>
    <w:p w14:paraId="3A747B98" w14:textId="77777777" w:rsidR="00455B1D" w:rsidRPr="00455B1D" w:rsidRDefault="00455B1D" w:rsidP="007A5E54">
      <w:pPr>
        <w:numPr>
          <w:ilvl w:val="0"/>
          <w:numId w:val="42"/>
        </w:numPr>
        <w:contextualSpacing/>
      </w:pPr>
      <w:r w:rsidRPr="00455B1D">
        <w:t>A traditional IRA</w:t>
      </w:r>
      <w:r w:rsidR="003328AB">
        <w:t>; or</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p>
    <w:p w14:paraId="21B6530F" w14:textId="77777777" w:rsidR="00455B1D" w:rsidRDefault="00455B1D" w:rsidP="007A5E54">
      <w:pPr>
        <w:numPr>
          <w:ilvl w:val="0"/>
          <w:numId w:val="42"/>
        </w:numPr>
      </w:pPr>
      <w:r w:rsidRPr="00455B1D">
        <w:t>A SEP IRA</w:t>
      </w:r>
      <w:r w:rsidR="003328AB">
        <w:t>.</w:t>
      </w:r>
    </w:p>
    <w:p w14:paraId="6A9D1BF2" w14:textId="77777777" w:rsidR="005200DF" w:rsidRPr="00455B1D" w:rsidRDefault="005200DF" w:rsidP="005200DF">
      <w:r>
        <w:rPr>
          <w:szCs w:val="22"/>
        </w:rPr>
        <w:t>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of SEP IRA after-tax contributions may be made to:</w:t>
      </w:r>
    </w:p>
    <w:p w14:paraId="28460748" w14:textId="77777777" w:rsidR="00455B1D" w:rsidRPr="00455B1D" w:rsidRDefault="00455B1D" w:rsidP="007A5E54">
      <w:pPr>
        <w:numPr>
          <w:ilvl w:val="0"/>
          <w:numId w:val="43"/>
        </w:numPr>
        <w:contextualSpacing/>
      </w:pPr>
      <w:r w:rsidRPr="00455B1D">
        <w:t>A traditional IRA</w:t>
      </w:r>
      <w:r w:rsidR="003328AB">
        <w:t>; or</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p>
    <w:p w14:paraId="21920C02" w14:textId="77777777" w:rsidR="00455B1D" w:rsidRPr="00455B1D" w:rsidRDefault="00455B1D" w:rsidP="007A5E54">
      <w:pPr>
        <w:numPr>
          <w:ilvl w:val="0"/>
          <w:numId w:val="43"/>
        </w:numPr>
        <w:contextualSpacing/>
      </w:pPr>
      <w:r w:rsidRPr="00455B1D">
        <w:t>A SEP IRA</w:t>
      </w:r>
      <w:r w:rsidR="003328AB">
        <w:t>.</w:t>
      </w:r>
    </w:p>
    <w:p w14:paraId="7AE35AB3" w14:textId="77777777" w:rsidR="006C0F57" w:rsidRPr="0099630E" w:rsidRDefault="006C0F57" w:rsidP="001D0C0A">
      <w:pPr>
        <w:pStyle w:val="Heading2"/>
        <w:rPr>
          <w:sz w:val="22"/>
          <w:szCs w:val="22"/>
        </w:rPr>
      </w:pPr>
      <w:bookmarkStart w:id="164" w:name="_Toc48025280"/>
      <w:bookmarkStart w:id="165" w:name="_Toc404357232"/>
      <w:r w:rsidRPr="0099630E">
        <w:t>Summary</w:t>
      </w:r>
      <w:bookmarkEnd w:id="164"/>
      <w:bookmarkEnd w:id="165"/>
    </w:p>
    <w:p w14:paraId="7F1B8B25" w14:textId="77777777" w:rsidR="00871E46" w:rsidRDefault="00181121" w:rsidP="00825E0B">
      <w:pPr>
        <w:rPr>
          <w:szCs w:val="22"/>
        </w:rPr>
      </w:pPr>
      <w:r>
        <w:rPr>
          <w:szCs w:val="22"/>
        </w:rPr>
        <w:t>As a means of encouraging employers to offer retirement plans to employees without the complexity and costs of a qualified retirement plan, Congress authorized simplified employee pensions.</w:t>
      </w:r>
      <w:r w:rsidR="00297ACB">
        <w:rPr>
          <w:szCs w:val="22"/>
        </w:rPr>
        <w:t xml:space="preserve"> </w:t>
      </w:r>
      <w:r>
        <w:rPr>
          <w:szCs w:val="22"/>
        </w:rPr>
        <w:t xml:space="preserve">Known as SEPs, these plans </w:t>
      </w:r>
      <w:r w:rsidR="00871E46">
        <w:rPr>
          <w:szCs w:val="22"/>
        </w:rPr>
        <w:t>provide an</w:t>
      </w:r>
      <w:r>
        <w:rPr>
          <w:szCs w:val="22"/>
        </w:rPr>
        <w:t xml:space="preserve"> ind</w:t>
      </w:r>
      <w:r w:rsidR="00871E46">
        <w:rPr>
          <w:szCs w:val="22"/>
        </w:rPr>
        <w:t>ividual retirement account</w:t>
      </w:r>
      <w:r>
        <w:rPr>
          <w:szCs w:val="22"/>
        </w:rPr>
        <w:t xml:space="preserve"> for each eligible employee to which employers may make discretionary, tax-deductible contributions at levels far in excess of permitted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 xml:space="preserve"> contribution levels.</w:t>
      </w:r>
      <w:r w:rsidR="00297ACB">
        <w:rPr>
          <w:szCs w:val="22"/>
        </w:rPr>
        <w:t xml:space="preserve"> </w:t>
      </w:r>
      <w:r>
        <w:rPr>
          <w:szCs w:val="22"/>
        </w:rPr>
        <w:t>In addition to employer contributions, employees may make tax-deductible or after-tax contributions</w:t>
      </w:r>
      <w:r w:rsidR="00871E46">
        <w:rPr>
          <w:szCs w:val="22"/>
        </w:rPr>
        <w:t>.</w:t>
      </w:r>
      <w:r w:rsidR="00297ACB">
        <w:rPr>
          <w:szCs w:val="22"/>
        </w:rPr>
        <w:t xml:space="preserve"> </w:t>
      </w:r>
      <w:r>
        <w:rPr>
          <w:szCs w:val="22"/>
        </w:rPr>
        <w:t>Account balances are 100 percent vested immediately.</w:t>
      </w:r>
      <w:r w:rsidR="00297ACB">
        <w:rPr>
          <w:szCs w:val="22"/>
        </w:rPr>
        <w:t xml:space="preserve"> </w:t>
      </w:r>
      <w:r w:rsidR="00871E46">
        <w:rPr>
          <w:szCs w:val="22"/>
        </w:rPr>
        <w:t xml:space="preserve">Employer contributions, which may be made up to the </w:t>
      </w:r>
      <w:r w:rsidR="00D567A5">
        <w:rPr>
          <w:szCs w:val="22"/>
        </w:rPr>
        <w:t>lesser</w:t>
      </w:r>
      <w:r w:rsidR="00871E46">
        <w:rPr>
          <w:szCs w:val="22"/>
        </w:rPr>
        <w:t xml:space="preserve"> of 2</w:t>
      </w:r>
      <w:r w:rsidR="00914F42">
        <w:rPr>
          <w:szCs w:val="22"/>
        </w:rPr>
        <w:t>5 percent of compensation or $</w:t>
      </w:r>
      <w:r w:rsidR="003328AB">
        <w:rPr>
          <w:szCs w:val="22"/>
        </w:rPr>
        <w:t>5</w:t>
      </w:r>
      <w:r w:rsidR="00920FD1">
        <w:rPr>
          <w:szCs w:val="22"/>
        </w:rPr>
        <w:t>3</w:t>
      </w:r>
      <w:r w:rsidR="00871E46">
        <w:rPr>
          <w:szCs w:val="22"/>
        </w:rPr>
        <w:t>,000, may not discriminate in favor of highly compensated employees.</w:t>
      </w:r>
      <w:r w:rsidR="00297ACB">
        <w:rPr>
          <w:szCs w:val="22"/>
        </w:rPr>
        <w:t xml:space="preserve"> </w:t>
      </w:r>
      <w:r w:rsidR="00871E46">
        <w:rPr>
          <w:szCs w:val="22"/>
        </w:rPr>
        <w:t>The SEP may, however, be integrated with Social Security.</w:t>
      </w:r>
    </w:p>
    <w:p w14:paraId="5EB61009" w14:textId="77777777" w:rsidR="00871E46" w:rsidRDefault="00871E46" w:rsidP="005B6340">
      <w:pPr>
        <w:rPr>
          <w:szCs w:val="22"/>
        </w:rPr>
      </w:pPr>
      <w:r>
        <w:rPr>
          <w:szCs w:val="22"/>
        </w:rPr>
        <w:t>SEP distributions, to the extent derived from earnings or pre-tax contributions, are taxable as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Pr>
          <w:szCs w:val="22"/>
        </w:rPr>
        <w:t>.</w:t>
      </w:r>
      <w:r w:rsidR="00297ACB">
        <w:rPr>
          <w:szCs w:val="22"/>
        </w:rPr>
        <w:t xml:space="preserve"> </w:t>
      </w:r>
      <w:r>
        <w:rPr>
          <w:szCs w:val="22"/>
        </w:rPr>
        <w:t>After-tax contributions are received tax free.</w:t>
      </w:r>
      <w:r w:rsidR="00297ACB">
        <w:rPr>
          <w:szCs w:val="22"/>
        </w:rPr>
        <w:t xml:space="preserve"> </w:t>
      </w:r>
      <w:r>
        <w:rPr>
          <w:szCs w:val="22"/>
        </w:rPr>
        <w:t>Regular distributions may begin at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 and must begin no later than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w:t>
      </w:r>
      <w:r w:rsidR="00297ACB">
        <w:rPr>
          <w:szCs w:val="22"/>
        </w:rPr>
        <w:t xml:space="preserve"> </w:t>
      </w:r>
      <w:r>
        <w:rPr>
          <w:szCs w:val="22"/>
        </w:rPr>
        <w:t>Distributions received prior to age 59½ are subject to a 10 percent tax penalty unless certain exceptions apply.</w:t>
      </w:r>
      <w:r w:rsidR="00297ACB">
        <w:rPr>
          <w:szCs w:val="22"/>
        </w:rPr>
        <w:t xml:space="preserve"> </w:t>
      </w:r>
      <w:r>
        <w:rPr>
          <w:szCs w:val="22"/>
        </w:rPr>
        <w:t>A failure to take at least the required distribution at age 70½ and later results in a tax penalty equal to 50 percent of the insufficiency.</w:t>
      </w:r>
    </w:p>
    <w:p w14:paraId="09922461" w14:textId="77777777" w:rsidR="00D73EA2" w:rsidRDefault="00D73EA2" w:rsidP="00D73EA2">
      <w:pPr>
        <w:pStyle w:val="Heading2"/>
      </w:pPr>
      <w:bookmarkStart w:id="166" w:name="_Toc404357233"/>
      <w:r>
        <w:t>Review Quiz #7</w:t>
      </w:r>
      <w:bookmarkEnd w:id="166"/>
    </w:p>
    <w:p w14:paraId="468A616C" w14:textId="77777777" w:rsidR="00D95538" w:rsidRDefault="00D95538" w:rsidP="00D95538">
      <w:pPr>
        <w:ind w:left="360" w:hanging="360"/>
      </w:pPr>
      <w:r>
        <w:t>1.   Patrick is a 52-year-old married employee who files a joint federal income tax with his spouse in 201</w:t>
      </w:r>
      <w:r w:rsidR="00920FD1">
        <w:t>5</w:t>
      </w:r>
      <w:r>
        <w:t>. His 201</w:t>
      </w:r>
      <w:r w:rsidR="00920FD1">
        <w:t>5</w:t>
      </w:r>
      <w:r>
        <w:t xml:space="preserve">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is $1</w:t>
      </w:r>
      <w:r w:rsidR="00836F97">
        <w:t>1</w:t>
      </w:r>
      <w:r w:rsidR="00920FD1">
        <w:t>3</w:t>
      </w:r>
      <w:r>
        <w:t>,000, and he is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his employer’s Simplified Employee Pension IRA. The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for active participants filing a joint return in 201</w:t>
      </w:r>
      <w:r w:rsidR="00920FD1">
        <w:t>5</w:t>
      </w:r>
      <w:r>
        <w:t xml:space="preserve"> is $9</w:t>
      </w:r>
      <w:r w:rsidR="00920FD1">
        <w:t>8</w:t>
      </w:r>
      <w:r>
        <w:t>,000. If he makes a $6,</w:t>
      </w:r>
      <w:r w:rsidR="00836F97">
        <w:t>5</w:t>
      </w:r>
      <w:r>
        <w:t>00 employee contribution in 201</w:t>
      </w:r>
      <w:r w:rsidR="00920FD1">
        <w:t>5</w:t>
      </w:r>
      <w:r>
        <w:t xml:space="preserve"> to his SEP IRA, what amount may he deduct?   </w:t>
      </w:r>
    </w:p>
    <w:p w14:paraId="45C85150" w14:textId="77777777" w:rsidR="00D95538" w:rsidRDefault="00D95538" w:rsidP="007A5E54">
      <w:pPr>
        <w:numPr>
          <w:ilvl w:val="0"/>
          <w:numId w:val="92"/>
        </w:numPr>
        <w:tabs>
          <w:tab w:val="clear" w:pos="1080"/>
          <w:tab w:val="num" w:pos="720"/>
        </w:tabs>
        <w:spacing w:before="120"/>
        <w:ind w:left="720"/>
      </w:pPr>
      <w:r>
        <w:t>$6,</w:t>
      </w:r>
      <w:r w:rsidR="00836F97">
        <w:t>5</w:t>
      </w:r>
      <w:r>
        <w:t>00</w:t>
      </w:r>
    </w:p>
    <w:p w14:paraId="30E4452D" w14:textId="77777777" w:rsidR="00D95538" w:rsidRDefault="00D95538" w:rsidP="007A5E54">
      <w:pPr>
        <w:numPr>
          <w:ilvl w:val="0"/>
          <w:numId w:val="92"/>
        </w:numPr>
        <w:tabs>
          <w:tab w:val="clear" w:pos="1080"/>
          <w:tab w:val="num" w:pos="720"/>
        </w:tabs>
        <w:spacing w:before="120"/>
        <w:ind w:left="720"/>
      </w:pPr>
      <w:r>
        <w:t>$4,</w:t>
      </w:r>
      <w:r w:rsidR="00836F97">
        <w:t>87</w:t>
      </w:r>
      <w:r>
        <w:t>5</w:t>
      </w:r>
    </w:p>
    <w:p w14:paraId="403EA464" w14:textId="77777777" w:rsidR="00D95538" w:rsidRDefault="00D95538" w:rsidP="007A5E54">
      <w:pPr>
        <w:numPr>
          <w:ilvl w:val="0"/>
          <w:numId w:val="92"/>
        </w:numPr>
        <w:tabs>
          <w:tab w:val="clear" w:pos="1080"/>
          <w:tab w:val="num" w:pos="720"/>
        </w:tabs>
        <w:spacing w:before="120"/>
        <w:ind w:left="720"/>
      </w:pPr>
      <w:r>
        <w:lastRenderedPageBreak/>
        <w:t>$1,</w:t>
      </w:r>
      <w:r w:rsidR="00836F97">
        <w:t>62</w:t>
      </w:r>
      <w:r>
        <w:t>5</w:t>
      </w:r>
    </w:p>
    <w:p w14:paraId="3E357063" w14:textId="77777777" w:rsidR="00D95538" w:rsidRDefault="00D95538" w:rsidP="007A5E54">
      <w:pPr>
        <w:numPr>
          <w:ilvl w:val="0"/>
          <w:numId w:val="92"/>
        </w:numPr>
        <w:tabs>
          <w:tab w:val="clear" w:pos="1080"/>
          <w:tab w:val="num" w:pos="720"/>
        </w:tabs>
        <w:spacing w:before="120"/>
        <w:ind w:left="720"/>
      </w:pPr>
      <w:r>
        <w:t>$0</w:t>
      </w:r>
    </w:p>
    <w:p w14:paraId="23255A90" w14:textId="77777777" w:rsidR="00D95538" w:rsidRDefault="00D95538" w:rsidP="00D95538">
      <w:pPr>
        <w:ind w:left="360" w:hanging="360"/>
      </w:pPr>
      <w:r>
        <w:t xml:space="preserve">2.   Harriet, age 40, took a $25,000 distribution from her employer’s SEP IRA to purchase her first home. If she is in a 25% income tax bracket and all contributions to the plan were made by her employer on a before-tax basis, what is her total tax liability resulting from the distribution?  </w:t>
      </w:r>
    </w:p>
    <w:p w14:paraId="6B0FFC8F" w14:textId="77777777" w:rsidR="00D95538" w:rsidRDefault="00D95538" w:rsidP="007A5E54">
      <w:pPr>
        <w:numPr>
          <w:ilvl w:val="0"/>
          <w:numId w:val="94"/>
        </w:numPr>
        <w:spacing w:before="120"/>
      </w:pPr>
      <w:r>
        <w:t>$7,750</w:t>
      </w:r>
    </w:p>
    <w:p w14:paraId="5F58E745" w14:textId="77777777" w:rsidR="00D95538" w:rsidRDefault="00D95538" w:rsidP="007A5E54">
      <w:pPr>
        <w:numPr>
          <w:ilvl w:val="0"/>
          <w:numId w:val="94"/>
        </w:numPr>
        <w:spacing w:before="120"/>
      </w:pPr>
      <w:r>
        <w:t>$5,250</w:t>
      </w:r>
    </w:p>
    <w:p w14:paraId="70AD1C81" w14:textId="77777777" w:rsidR="00D95538" w:rsidRDefault="00D95538" w:rsidP="007A5E54">
      <w:pPr>
        <w:numPr>
          <w:ilvl w:val="0"/>
          <w:numId w:val="94"/>
        </w:numPr>
        <w:spacing w:before="120"/>
      </w:pPr>
      <w:r>
        <w:t>$8,750</w:t>
      </w:r>
    </w:p>
    <w:p w14:paraId="3C2B63EB" w14:textId="77777777" w:rsidR="00D95538" w:rsidRDefault="00D95538" w:rsidP="007A5E54">
      <w:pPr>
        <w:numPr>
          <w:ilvl w:val="0"/>
          <w:numId w:val="94"/>
        </w:numPr>
        <w:spacing w:before="120"/>
      </w:pPr>
      <w:r>
        <w:t>$0</w:t>
      </w:r>
    </w:p>
    <w:p w14:paraId="67A50D4E" w14:textId="77777777" w:rsidR="00D95538" w:rsidRDefault="00D95538" w:rsidP="00D95538">
      <w:pPr>
        <w:ind w:left="360" w:hanging="360"/>
      </w:pPr>
      <w:r>
        <w:t xml:space="preserve">3.   Audrey is a participant in her employer’s SEP IRA and has been making non-deductible contributions each year to the plan. </w:t>
      </w:r>
      <w:r w:rsidR="00F51C0C">
        <w:t>Last year</w:t>
      </w:r>
      <w:r>
        <w:t xml:space="preserve"> she took a distribution of $20,000 from the plan to pay for a European vacation. How much of her distribution must she include in her income if her total unrecovered non-deductible contributions were $50,000 and the balance in her SEP IRA account at the end of </w:t>
      </w:r>
      <w:r w:rsidR="00F51C0C">
        <w:t>the year</w:t>
      </w:r>
      <w:r>
        <w:t xml:space="preserve"> was $480,000?</w:t>
      </w:r>
    </w:p>
    <w:p w14:paraId="41FC487F" w14:textId="77777777" w:rsidR="00D95538" w:rsidRDefault="00D95538" w:rsidP="007A5E54">
      <w:pPr>
        <w:numPr>
          <w:ilvl w:val="0"/>
          <w:numId w:val="96"/>
        </w:numPr>
        <w:spacing w:before="120"/>
      </w:pPr>
      <w:r>
        <w:t>$20,000</w:t>
      </w:r>
    </w:p>
    <w:p w14:paraId="0675FDD7" w14:textId="77777777" w:rsidR="00D95538" w:rsidRDefault="00D95538" w:rsidP="007A5E54">
      <w:pPr>
        <w:numPr>
          <w:ilvl w:val="0"/>
          <w:numId w:val="96"/>
        </w:numPr>
        <w:spacing w:before="120"/>
      </w:pPr>
      <w:r>
        <w:t>$18,000</w:t>
      </w:r>
    </w:p>
    <w:p w14:paraId="7797E271" w14:textId="77777777" w:rsidR="00D95538" w:rsidRDefault="00D95538" w:rsidP="007A5E54">
      <w:pPr>
        <w:numPr>
          <w:ilvl w:val="0"/>
          <w:numId w:val="96"/>
        </w:numPr>
        <w:spacing w:before="120"/>
      </w:pPr>
      <w:r>
        <w:t>$2,000</w:t>
      </w:r>
    </w:p>
    <w:p w14:paraId="18D6F1E1" w14:textId="77777777" w:rsidR="00D95538" w:rsidRDefault="00D95538" w:rsidP="007A5E54">
      <w:pPr>
        <w:numPr>
          <w:ilvl w:val="0"/>
          <w:numId w:val="96"/>
        </w:numPr>
        <w:spacing w:before="120"/>
      </w:pPr>
      <w:r>
        <w:t>$0</w:t>
      </w:r>
    </w:p>
    <w:p w14:paraId="0909FCB7" w14:textId="77777777" w:rsidR="005B6340" w:rsidRDefault="00CD11A3" w:rsidP="00825E0B">
      <w:pPr>
        <w:rPr>
          <w:b/>
          <w:szCs w:val="26"/>
        </w:rPr>
        <w:sectPr w:rsidR="005B6340" w:rsidSect="00297ACB">
          <w:headerReference w:type="default" r:id="rId19"/>
          <w:footerReference w:type="first" r:id="rId20"/>
          <w:pgSz w:w="12240" w:h="15840"/>
          <w:pgMar w:top="2160" w:right="1440" w:bottom="1440" w:left="1800" w:header="720" w:footer="720" w:gutter="0"/>
          <w:cols w:space="720"/>
          <w:titlePg/>
          <w:docGrid w:linePitch="299"/>
        </w:sectPr>
      </w:pPr>
      <w:r>
        <w:rPr>
          <w:b/>
          <w:szCs w:val="26"/>
        </w:rPr>
        <w:br w:type="page"/>
      </w:r>
    </w:p>
    <w:p w14:paraId="5F309FE4" w14:textId="77777777" w:rsidR="0099630E" w:rsidRPr="000B485C" w:rsidRDefault="005A4CD2" w:rsidP="005B6340">
      <w:pPr>
        <w:pStyle w:val="Heading1"/>
      </w:pPr>
      <w:bookmarkStart w:id="167" w:name="_Toc48025281"/>
      <w:bookmarkStart w:id="168" w:name="_Toc404357234"/>
      <w:r>
        <w:lastRenderedPageBreak/>
        <w:t>Chapter</w:t>
      </w:r>
      <w:r w:rsidR="0099630E">
        <w:t xml:space="preserve"> </w:t>
      </w:r>
      <w:r w:rsidR="0077192A">
        <w:t>6</w:t>
      </w:r>
      <w:r w:rsidR="005B6340">
        <w:br/>
      </w:r>
      <w:r w:rsidR="009F458F">
        <w:t>SIMPLE</w:t>
      </w:r>
      <w:r w:rsidR="0099630E">
        <w:t xml:space="preserve"> IRAs</w:t>
      </w:r>
      <w:bookmarkEnd w:id="167"/>
      <w:bookmarkEnd w:id="168"/>
    </w:p>
    <w:p w14:paraId="6772DC7F" w14:textId="77777777" w:rsidR="0099630E" w:rsidRPr="00352D2D" w:rsidRDefault="0099630E" w:rsidP="005B6340">
      <w:pPr>
        <w:pStyle w:val="Heading2"/>
      </w:pPr>
      <w:bookmarkStart w:id="169" w:name="_Toc48025282"/>
      <w:bookmarkStart w:id="170" w:name="_Toc404357235"/>
      <w:r w:rsidRPr="00352D2D">
        <w:t>Important Lesson Points</w:t>
      </w:r>
      <w:bookmarkEnd w:id="169"/>
      <w:bookmarkEnd w:id="170"/>
    </w:p>
    <w:p w14:paraId="3C81D8D7" w14:textId="77777777" w:rsidR="0099630E" w:rsidRPr="005B6340" w:rsidRDefault="0099630E" w:rsidP="005B6340">
      <w:pPr>
        <w:rPr>
          <w:szCs w:val="22"/>
        </w:rPr>
      </w:pPr>
      <w:r w:rsidRPr="005B6340">
        <w:rPr>
          <w:szCs w:val="22"/>
        </w:rPr>
        <w:t>The important points addressed in this lesson are:</w:t>
      </w:r>
    </w:p>
    <w:p w14:paraId="5C688EBD" w14:textId="77777777" w:rsidR="006F23A1" w:rsidRPr="00A8117E" w:rsidRDefault="006F23A1" w:rsidP="007A5E54">
      <w:pPr>
        <w:numPr>
          <w:ilvl w:val="0"/>
          <w:numId w:val="30"/>
        </w:numPr>
        <w:contextualSpacing/>
      </w:pPr>
      <w:r w:rsidRPr="00A8117E">
        <w:t>Employers with no more than 100 employees earning $5,000 or more may establish and maintain SIMPLE IRA plans</w:t>
      </w:r>
    </w:p>
    <w:p w14:paraId="3238D24F" w14:textId="77777777" w:rsidR="00DB2092" w:rsidRPr="00A8117E" w:rsidRDefault="006F23A1" w:rsidP="007A5E54">
      <w:pPr>
        <w:numPr>
          <w:ilvl w:val="0"/>
          <w:numId w:val="30"/>
        </w:numPr>
        <w:contextualSpacing/>
      </w:pPr>
      <w:r w:rsidRPr="00A8117E">
        <w:t>A SIMPLE IRA permits the small employer</w:t>
      </w:r>
      <w:r w:rsidR="00A95039">
        <w:fldChar w:fldCharType="begin"/>
      </w:r>
      <w:r w:rsidR="00500F1D">
        <w:instrText xml:space="preserve"> XE "</w:instrText>
      </w:r>
      <w:r w:rsidR="00500F1D" w:rsidRPr="00CD56BD">
        <w:rPr>
          <w:szCs w:val="22"/>
        </w:rPr>
        <w:instrText>small employer</w:instrText>
      </w:r>
      <w:r w:rsidR="00500F1D">
        <w:instrText xml:space="preserve">" </w:instrText>
      </w:r>
      <w:r w:rsidR="00A95039">
        <w:fldChar w:fldCharType="end"/>
      </w:r>
      <w:r w:rsidRPr="00A8117E">
        <w:t xml:space="preserve"> to avoid the costly setup and administrative charges characteristic of qualified retirement plans</w:t>
      </w:r>
      <w:r w:rsidR="00DB2092" w:rsidRPr="00A8117E">
        <w:t xml:space="preserve"> </w:t>
      </w:r>
      <w:r w:rsidRPr="00A8117E">
        <w:t>while still offering employees a plan to which elective deferrals</w:t>
      </w:r>
      <w:r w:rsidR="002C5125" w:rsidRPr="00A8117E">
        <w:t xml:space="preserve"> and employer contributions </w:t>
      </w:r>
      <w:r w:rsidRPr="00A8117E">
        <w:t>may be made</w:t>
      </w:r>
    </w:p>
    <w:p w14:paraId="48E8FEE2" w14:textId="77777777" w:rsidR="002C5125" w:rsidRPr="00A8117E" w:rsidRDefault="002C5125" w:rsidP="007A5E54">
      <w:pPr>
        <w:numPr>
          <w:ilvl w:val="0"/>
          <w:numId w:val="30"/>
        </w:numPr>
        <w:contextualSpacing/>
      </w:pPr>
      <w:r w:rsidRPr="00A8117E">
        <w:t xml:space="preserve">Contributions to a SIMPLE IRA involve elective contributions authorized by the employee in lieu of a cash distribution and mandatory employer contributions, all of which are made before taxes and enjoy tax deferral of </w:t>
      </w:r>
      <w:r w:rsidR="000C4717">
        <w:t xml:space="preserve">gain </w:t>
      </w:r>
    </w:p>
    <w:p w14:paraId="2D870A4E" w14:textId="77777777" w:rsidR="002C5125" w:rsidRPr="00A8117E" w:rsidRDefault="002C5125" w:rsidP="007A5E54">
      <w:pPr>
        <w:numPr>
          <w:ilvl w:val="0"/>
          <w:numId w:val="30"/>
        </w:numPr>
        <w:contextualSpacing/>
      </w:pPr>
      <w:r w:rsidRPr="00A8117E">
        <w:t>Mandatory employer contributions to a SIMPLE IRA may be matching contributions</w:t>
      </w:r>
      <w:r w:rsidR="00A95039">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fldChar w:fldCharType="end"/>
      </w:r>
      <w:r w:rsidRPr="00A8117E">
        <w:t xml:space="preserve"> or nonelective (i.e. non-matching) contributions and may be made up until the employer’s tax filing date, including extensions</w:t>
      </w:r>
    </w:p>
    <w:p w14:paraId="30A322E3" w14:textId="77777777" w:rsidR="002C5125" w:rsidRPr="00A8117E" w:rsidRDefault="002C5125" w:rsidP="007A5E54">
      <w:pPr>
        <w:numPr>
          <w:ilvl w:val="0"/>
          <w:numId w:val="30"/>
        </w:numPr>
        <w:contextualSpacing/>
      </w:pPr>
      <w:r w:rsidRPr="00A8117E">
        <w:t>All SIMPLE IRA contributions and earnings are immediately nonforfeitable</w:t>
      </w:r>
    </w:p>
    <w:p w14:paraId="7D7E1C0D" w14:textId="77777777" w:rsidR="002C5125" w:rsidRPr="00A8117E" w:rsidRDefault="002C5125" w:rsidP="007A5E54">
      <w:pPr>
        <w:numPr>
          <w:ilvl w:val="0"/>
          <w:numId w:val="30"/>
        </w:numPr>
        <w:contextualSpacing/>
      </w:pPr>
      <w:r w:rsidRPr="00A8117E">
        <w:t>A nonrefundable tax credit</w:t>
      </w:r>
      <w:r w:rsidR="00A95039">
        <w:fldChar w:fldCharType="begin"/>
      </w:r>
      <w:r w:rsidR="00293611">
        <w:instrText xml:space="preserve"> XE "</w:instrText>
      </w:r>
      <w:r w:rsidR="00293611" w:rsidRPr="00CD56BD">
        <w:rPr>
          <w:szCs w:val="22"/>
        </w:rPr>
        <w:instrText>nonrefundable tax credit</w:instrText>
      </w:r>
      <w:r w:rsidR="00293611">
        <w:instrText xml:space="preserve">" </w:instrText>
      </w:r>
      <w:r w:rsidR="00A95039">
        <w:fldChar w:fldCharType="end"/>
      </w:r>
      <w:r w:rsidRPr="00A8117E">
        <w:t xml:space="preserve"> for elective contributions to a SIMPLE IRA is available to certain lower-income employees, in addition to any other tax benefits arising out of the plan</w:t>
      </w:r>
    </w:p>
    <w:p w14:paraId="6A072AC3" w14:textId="77777777" w:rsidR="002C5125" w:rsidRPr="00A8117E" w:rsidRDefault="002C5125" w:rsidP="007A5E54">
      <w:pPr>
        <w:numPr>
          <w:ilvl w:val="0"/>
          <w:numId w:val="30"/>
        </w:numPr>
        <w:contextualSpacing/>
      </w:pPr>
      <w:r w:rsidRPr="00A8117E">
        <w:t>Distributions from a SIMPLE IRA are taxable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rsidRPr="00A8117E">
        <w:t xml:space="preserve"> in the year received</w:t>
      </w:r>
    </w:p>
    <w:p w14:paraId="3000676A" w14:textId="77777777" w:rsidR="002C5125" w:rsidRPr="00A8117E" w:rsidRDefault="002C5125" w:rsidP="007A5E54">
      <w:pPr>
        <w:numPr>
          <w:ilvl w:val="0"/>
          <w:numId w:val="30"/>
        </w:numPr>
        <w:contextualSpacing/>
      </w:pPr>
      <w:r w:rsidRPr="00A8117E">
        <w:t>Distributions from a SIMPLE IRA made earlier than the employee’s 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rsidRPr="00A8117E">
        <w:t xml:space="preserve"> are subject to a premature tax penalty unless specific exceptions apply</w:t>
      </w:r>
    </w:p>
    <w:p w14:paraId="1A8C088E" w14:textId="77777777" w:rsidR="003362FC" w:rsidRPr="00A8117E" w:rsidRDefault="002C5125" w:rsidP="007A5E54">
      <w:pPr>
        <w:numPr>
          <w:ilvl w:val="0"/>
          <w:numId w:val="30"/>
        </w:numPr>
        <w:contextualSpacing/>
      </w:pPr>
      <w:r w:rsidRPr="00A8117E">
        <w:t>The SIMPLE IRA premature distribution tax penalty is equal to 25 percent of the amount includible in income if received before the employee has two years of participation in the plan</w:t>
      </w:r>
      <w:r w:rsidR="003362FC" w:rsidRPr="00A8117E">
        <w:t>; on and after the first two years</w:t>
      </w:r>
      <w:r w:rsidR="007474B8">
        <w:t xml:space="preserve"> of plan participation</w:t>
      </w:r>
      <w:r w:rsidR="003362FC" w:rsidRPr="00A8117E">
        <w:t>, the penalty is reduced to 10 percent</w:t>
      </w:r>
    </w:p>
    <w:p w14:paraId="0930E829" w14:textId="77777777" w:rsidR="003362FC" w:rsidRPr="00A8117E" w:rsidRDefault="003362FC" w:rsidP="007A5E54">
      <w:pPr>
        <w:numPr>
          <w:ilvl w:val="0"/>
          <w:numId w:val="30"/>
        </w:numPr>
        <w:contextualSpacing/>
      </w:pPr>
      <w:r w:rsidRPr="00A8117E">
        <w:t>Required minimum distributions (</w:t>
      </w:r>
      <w:r w:rsidR="006C5D6E" w:rsidRPr="00A8117E">
        <w:t>R</w:t>
      </w:r>
      <w:r w:rsidR="00DA5676">
        <w:t>M</w:t>
      </w:r>
      <w:r w:rsidR="006C5D6E" w:rsidRPr="00A8117E">
        <w:t>D</w:t>
      </w:r>
      <w:r w:rsidRPr="00A8117E">
        <w:t>) from a SIMPLE IRA must begin at the time the employee reaches age 70½</w:t>
      </w:r>
      <w:r w:rsidR="00A95039">
        <w:fldChar w:fldCharType="begin"/>
      </w:r>
      <w:r w:rsidR="00293611">
        <w:instrText xml:space="preserve"> XE "</w:instrText>
      </w:r>
      <w:r w:rsidR="00293611" w:rsidRPr="00CD56BD">
        <w:rPr>
          <w:szCs w:val="22"/>
        </w:rPr>
        <w:instrText>age 70½</w:instrText>
      </w:r>
      <w:r w:rsidR="00293611">
        <w:instrText xml:space="preserve">" </w:instrText>
      </w:r>
      <w:r w:rsidR="00A95039">
        <w:fldChar w:fldCharType="end"/>
      </w:r>
      <w:r w:rsidRPr="00A8117E">
        <w:t>, even if still employed</w:t>
      </w:r>
    </w:p>
    <w:p w14:paraId="344725B1" w14:textId="77777777" w:rsidR="002C5125" w:rsidRDefault="003362FC" w:rsidP="007A5E54">
      <w:pPr>
        <w:numPr>
          <w:ilvl w:val="0"/>
          <w:numId w:val="30"/>
        </w:numPr>
        <w:contextualSpacing/>
      </w:pPr>
      <w:r w:rsidRPr="00A8117E">
        <w:t>A SIMPLE IRA may be rolled over to another SIMPLE IRA at any time but may be rolled over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rsidRPr="00A8117E">
        <w:t xml:space="preserve"> only after the employee has been a participant for at least 2 years</w:t>
      </w:r>
    </w:p>
    <w:p w14:paraId="287DC501" w14:textId="77777777" w:rsidR="009D330D" w:rsidRDefault="009D330D" w:rsidP="009D330D">
      <w:pPr>
        <w:pStyle w:val="Heading2"/>
        <w:keepLines w:val="0"/>
      </w:pPr>
      <w:bookmarkStart w:id="171" w:name="_Toc404357236"/>
      <w:r>
        <w:t>Chapter Learning Objectives</w:t>
      </w:r>
      <w:bookmarkEnd w:id="171"/>
    </w:p>
    <w:p w14:paraId="7BFB78B3" w14:textId="77777777" w:rsidR="009D330D" w:rsidRDefault="009D330D" w:rsidP="009D330D">
      <w:r>
        <w:t xml:space="preserve">In this chapter we will look at the rules governing SIMPLE IRAs. </w:t>
      </w:r>
      <w:r w:rsidRPr="00702457">
        <w:t xml:space="preserve">When you have completed this </w:t>
      </w:r>
      <w:r>
        <w:t>chapter</w:t>
      </w:r>
      <w:r w:rsidRPr="00702457">
        <w:t xml:space="preserve"> you should be able to</w:t>
      </w:r>
      <w:r>
        <w:t>:</w:t>
      </w:r>
    </w:p>
    <w:p w14:paraId="795253D9" w14:textId="77777777" w:rsidR="00D95538" w:rsidRDefault="009D330D" w:rsidP="007A5E54">
      <w:pPr>
        <w:numPr>
          <w:ilvl w:val="0"/>
          <w:numId w:val="98"/>
        </w:numPr>
        <w:contextualSpacing/>
      </w:pPr>
      <w:r>
        <w:t>Describe</w:t>
      </w:r>
      <w:r w:rsidR="00E53F3E">
        <w:t xml:space="preserve"> the eligibility rules applicable to a SIMPLE IRA for employers and employees;</w:t>
      </w:r>
    </w:p>
    <w:p w14:paraId="6667B087" w14:textId="77777777" w:rsidR="00A85D5E" w:rsidRDefault="00E53F3E" w:rsidP="007A5E54">
      <w:pPr>
        <w:numPr>
          <w:ilvl w:val="0"/>
          <w:numId w:val="98"/>
        </w:numPr>
        <w:contextualSpacing/>
      </w:pPr>
      <w:r>
        <w:t>Explain the rules governing SIMPLE IRA contribution sources</w:t>
      </w:r>
      <w:r w:rsidR="00A85D5E">
        <w:t xml:space="preserve"> and the limits applicable to annual additions</w:t>
      </w:r>
      <w:r>
        <w:t>;</w:t>
      </w:r>
      <w:r w:rsidR="00A85D5E">
        <w:t xml:space="preserve"> </w:t>
      </w:r>
    </w:p>
    <w:p w14:paraId="32EC1F42" w14:textId="77777777" w:rsidR="00E53F3E" w:rsidRDefault="00A85D5E" w:rsidP="007A5E54">
      <w:pPr>
        <w:numPr>
          <w:ilvl w:val="0"/>
          <w:numId w:val="98"/>
        </w:numPr>
        <w:contextualSpacing/>
      </w:pPr>
      <w:r>
        <w:t>Describe the rules and restrictions governing rollovers from a SIMPLE IRA; and</w:t>
      </w:r>
    </w:p>
    <w:p w14:paraId="2777F641" w14:textId="77777777" w:rsidR="00E53F3E" w:rsidRPr="00A8117E" w:rsidRDefault="00E53F3E" w:rsidP="007A5E54">
      <w:pPr>
        <w:numPr>
          <w:ilvl w:val="0"/>
          <w:numId w:val="98"/>
        </w:numPr>
        <w:contextualSpacing/>
      </w:pPr>
      <w:r>
        <w:lastRenderedPageBreak/>
        <w:t xml:space="preserve">Discuss </w:t>
      </w:r>
      <w:r w:rsidR="00A85D5E">
        <w:t>the taxation and rules applicable to SIMPLE IRA distributions.</w:t>
      </w:r>
    </w:p>
    <w:p w14:paraId="402ED5D5" w14:textId="77777777" w:rsidR="00DB2092" w:rsidRPr="009F458F" w:rsidRDefault="00397138" w:rsidP="005B6340">
      <w:pPr>
        <w:pStyle w:val="Heading2"/>
        <w:rPr>
          <w:sz w:val="22"/>
          <w:szCs w:val="22"/>
        </w:rPr>
      </w:pPr>
      <w:bookmarkStart w:id="172" w:name="_Toc48025283"/>
      <w:bookmarkStart w:id="173" w:name="_Toc404357237"/>
      <w:r w:rsidRPr="009F458F">
        <w:t>Definition &amp; Eligibility</w:t>
      </w:r>
      <w:bookmarkEnd w:id="172"/>
      <w:bookmarkEnd w:id="173"/>
    </w:p>
    <w:p w14:paraId="5FCE2B63" w14:textId="77777777" w:rsidR="006723DD" w:rsidRDefault="006723DD" w:rsidP="00825E0B">
      <w:pPr>
        <w:rPr>
          <w:szCs w:val="22"/>
        </w:rPr>
      </w:pPr>
      <w:r>
        <w:rPr>
          <w:szCs w:val="22"/>
        </w:rPr>
        <w:t>Although simplified employee pension (SEP)</w:t>
      </w:r>
      <w:r w:rsidR="00A95039">
        <w:rPr>
          <w:szCs w:val="22"/>
        </w:rPr>
        <w:fldChar w:fldCharType="begin"/>
      </w:r>
      <w:r w:rsidR="00500F1D">
        <w:instrText xml:space="preserve"> XE "</w:instrText>
      </w:r>
      <w:r w:rsidR="00500F1D" w:rsidRPr="00CD56BD">
        <w:rPr>
          <w:szCs w:val="22"/>
        </w:rPr>
        <w:instrText>simplified employee pension (SEP)</w:instrText>
      </w:r>
      <w:r w:rsidR="00500F1D">
        <w:instrText xml:space="preserve">" </w:instrText>
      </w:r>
      <w:r w:rsidR="00A95039">
        <w:rPr>
          <w:szCs w:val="22"/>
        </w:rPr>
        <w:fldChar w:fldCharType="end"/>
      </w:r>
      <w:r>
        <w:rPr>
          <w:szCs w:val="22"/>
        </w:rPr>
        <w:t xml:space="preserve"> plans continue to be available, a particular type of SEP that permitted employees to make elective deferrals—known as a SAR-SEP or salary reduction simplified employee pension—could no longer be adopted after December 31, 1996.</w:t>
      </w:r>
      <w:r w:rsidR="00297ACB">
        <w:rPr>
          <w:szCs w:val="22"/>
        </w:rPr>
        <w:t xml:space="preserve"> </w:t>
      </w:r>
      <w:r>
        <w:rPr>
          <w:szCs w:val="22"/>
        </w:rPr>
        <w:t>A new type of plan, designed to replace the SAR-SEP for small employers, became available for years after December 31, 1996.</w:t>
      </w:r>
    </w:p>
    <w:p w14:paraId="03635B19" w14:textId="77777777" w:rsidR="00B63A64" w:rsidRDefault="006723DD" w:rsidP="00825E0B">
      <w:pPr>
        <w:rPr>
          <w:szCs w:val="22"/>
        </w:rPr>
      </w:pPr>
      <w:r>
        <w:rPr>
          <w:szCs w:val="22"/>
        </w:rPr>
        <w:t>This replacement plan is a SIMPLE plan.</w:t>
      </w:r>
      <w:r w:rsidR="00297ACB">
        <w:rPr>
          <w:szCs w:val="22"/>
        </w:rPr>
        <w:t xml:space="preserve"> </w:t>
      </w:r>
      <w:r>
        <w:rPr>
          <w:szCs w:val="22"/>
        </w:rPr>
        <w:t xml:space="preserve">SIMPLE is an acronym that stands for </w:t>
      </w:r>
      <w:r>
        <w:rPr>
          <w:szCs w:val="22"/>
          <w:u w:val="single"/>
        </w:rPr>
        <w:t>S</w:t>
      </w:r>
      <w:r>
        <w:rPr>
          <w:szCs w:val="22"/>
        </w:rPr>
        <w:t xml:space="preserve">avings </w:t>
      </w:r>
      <w:r>
        <w:rPr>
          <w:szCs w:val="22"/>
          <w:u w:val="single"/>
        </w:rPr>
        <w:t>I</w:t>
      </w:r>
      <w:r>
        <w:rPr>
          <w:szCs w:val="22"/>
        </w:rPr>
        <w:t>ncentive</w:t>
      </w:r>
      <w:r w:rsidR="00B63A64">
        <w:rPr>
          <w:szCs w:val="22"/>
        </w:rPr>
        <w:t xml:space="preserve"> </w:t>
      </w:r>
      <w:r w:rsidR="00B63A64">
        <w:rPr>
          <w:szCs w:val="22"/>
          <w:u w:val="single"/>
        </w:rPr>
        <w:t>M</w:t>
      </w:r>
      <w:r w:rsidR="00B63A64">
        <w:rPr>
          <w:szCs w:val="22"/>
        </w:rPr>
        <w:t xml:space="preserve">atch </w:t>
      </w:r>
      <w:r w:rsidR="00B63A64">
        <w:rPr>
          <w:szCs w:val="22"/>
          <w:u w:val="single"/>
        </w:rPr>
        <w:t>Pl</w:t>
      </w:r>
      <w:r w:rsidR="00B63A64">
        <w:rPr>
          <w:szCs w:val="22"/>
        </w:rPr>
        <w:t xml:space="preserve">an for </w:t>
      </w:r>
      <w:r w:rsidR="00B63A64">
        <w:rPr>
          <w:szCs w:val="22"/>
          <w:u w:val="single"/>
        </w:rPr>
        <w:t>E</w:t>
      </w:r>
      <w:r w:rsidR="00B63A64">
        <w:rPr>
          <w:szCs w:val="22"/>
        </w:rPr>
        <w:t>mployees</w:t>
      </w:r>
      <w:r w:rsidR="00A95039">
        <w:rPr>
          <w:szCs w:val="22"/>
        </w:rPr>
        <w:fldChar w:fldCharType="begin"/>
      </w:r>
      <w:r w:rsidR="00500F1D">
        <w:instrText xml:space="preserve"> XE "</w:instrText>
      </w:r>
      <w:r w:rsidR="00500F1D" w:rsidRPr="00CD56BD">
        <w:rPr>
          <w:szCs w:val="22"/>
          <w:u w:val="single"/>
        </w:rPr>
        <w:instrText>S</w:instrText>
      </w:r>
      <w:r w:rsidR="00500F1D" w:rsidRPr="00CD56BD">
        <w:rPr>
          <w:szCs w:val="22"/>
        </w:rPr>
        <w:instrText xml:space="preserve">avings </w:instrText>
      </w:r>
      <w:r w:rsidR="00500F1D" w:rsidRPr="00CD56BD">
        <w:rPr>
          <w:szCs w:val="22"/>
          <w:u w:val="single"/>
        </w:rPr>
        <w:instrText>I</w:instrText>
      </w:r>
      <w:r w:rsidR="00500F1D" w:rsidRPr="00CD56BD">
        <w:rPr>
          <w:szCs w:val="22"/>
        </w:rPr>
        <w:instrText xml:space="preserve">ncentive </w:instrText>
      </w:r>
      <w:r w:rsidR="00500F1D" w:rsidRPr="00CD56BD">
        <w:rPr>
          <w:szCs w:val="22"/>
          <w:u w:val="single"/>
        </w:rPr>
        <w:instrText>M</w:instrText>
      </w:r>
      <w:r w:rsidR="00500F1D" w:rsidRPr="00CD56BD">
        <w:rPr>
          <w:szCs w:val="22"/>
        </w:rPr>
        <w:instrText xml:space="preserve">atch </w:instrText>
      </w:r>
      <w:r w:rsidR="00500F1D" w:rsidRPr="00CD56BD">
        <w:rPr>
          <w:szCs w:val="22"/>
          <w:u w:val="single"/>
        </w:rPr>
        <w:instrText>Pl</w:instrText>
      </w:r>
      <w:r w:rsidR="00500F1D" w:rsidRPr="00CD56BD">
        <w:rPr>
          <w:szCs w:val="22"/>
        </w:rPr>
        <w:instrText xml:space="preserve">an for </w:instrText>
      </w:r>
      <w:r w:rsidR="00500F1D" w:rsidRPr="00CD56BD">
        <w:rPr>
          <w:szCs w:val="22"/>
          <w:u w:val="single"/>
        </w:rPr>
        <w:instrText>E</w:instrText>
      </w:r>
      <w:r w:rsidR="00500F1D" w:rsidRPr="00CD56BD">
        <w:rPr>
          <w:szCs w:val="22"/>
        </w:rPr>
        <w:instrText>mployees</w:instrText>
      </w:r>
      <w:r w:rsidR="00500F1D">
        <w:instrText xml:space="preserve">" </w:instrText>
      </w:r>
      <w:r w:rsidR="00A95039">
        <w:rPr>
          <w:szCs w:val="22"/>
        </w:rPr>
        <w:fldChar w:fldCharType="end"/>
      </w:r>
      <w:r w:rsidR="00B63A64">
        <w:rPr>
          <w:szCs w:val="22"/>
        </w:rPr>
        <w:t>.</w:t>
      </w:r>
      <w:r w:rsidR="00297ACB">
        <w:rPr>
          <w:szCs w:val="22"/>
        </w:rPr>
        <w:t xml:space="preserve"> </w:t>
      </w:r>
      <w:r w:rsidR="00B63A64">
        <w:rPr>
          <w:szCs w:val="22"/>
        </w:rPr>
        <w:t>Congress authorized two basic types of SIMPLE plans:</w:t>
      </w:r>
    </w:p>
    <w:p w14:paraId="15AA714D" w14:textId="77777777" w:rsidR="00B63A64" w:rsidRPr="00781311" w:rsidRDefault="00B63A64" w:rsidP="007A5E54">
      <w:pPr>
        <w:numPr>
          <w:ilvl w:val="0"/>
          <w:numId w:val="31"/>
        </w:numPr>
        <w:contextualSpacing/>
      </w:pPr>
      <w:r w:rsidRPr="00781311">
        <w:t>SIMPLE IRAs</w:t>
      </w:r>
      <w:r w:rsidR="0026359E">
        <w:t>;</w:t>
      </w:r>
      <w:r w:rsidR="00781311" w:rsidRPr="00781311">
        <w:t xml:space="preserve"> </w:t>
      </w:r>
      <w:r w:rsidRPr="00781311">
        <w:t>and</w:t>
      </w:r>
    </w:p>
    <w:p w14:paraId="46C958AF" w14:textId="77777777" w:rsidR="00B63A64" w:rsidRPr="00781311" w:rsidRDefault="00B63A64" w:rsidP="007A5E54">
      <w:pPr>
        <w:numPr>
          <w:ilvl w:val="0"/>
          <w:numId w:val="31"/>
        </w:numPr>
        <w:contextualSpacing/>
      </w:pPr>
      <w:r w:rsidRPr="00781311">
        <w:t>SIMPLE 401(k)s</w:t>
      </w:r>
      <w:r w:rsidR="0026359E">
        <w:t>.</w:t>
      </w:r>
    </w:p>
    <w:p w14:paraId="355C16E1" w14:textId="77777777" w:rsidR="009D330D" w:rsidRDefault="009D330D" w:rsidP="009D330D">
      <w:pPr>
        <w:pStyle w:val="Heading3"/>
      </w:pPr>
      <w:bookmarkStart w:id="174" w:name="_Toc404357238"/>
      <w:r>
        <w:t>SIMPLEs Offer Less Expensive Alternative to Qualified Plans</w:t>
      </w:r>
      <w:bookmarkEnd w:id="174"/>
    </w:p>
    <w:p w14:paraId="28E67F65" w14:textId="77777777" w:rsidR="00B63A64" w:rsidRDefault="00A6447F" w:rsidP="00825E0B">
      <w:pPr>
        <w:rPr>
          <w:szCs w:val="22"/>
        </w:rPr>
      </w:pPr>
      <w:r>
        <w:rPr>
          <w:szCs w:val="22"/>
        </w:rPr>
        <w:t>Similar to a SEP, a SIMPLE allows for higher contributions than permitted in a traditional or Roth IRA</w:t>
      </w:r>
      <w:r w:rsidR="00A95039">
        <w:rPr>
          <w:szCs w:val="22"/>
        </w:rPr>
        <w:fldChar w:fldCharType="begin"/>
      </w:r>
      <w:r w:rsidR="00293611">
        <w:instrText xml:space="preserve"> XE "</w:instrText>
      </w:r>
      <w:r w:rsidR="00293611" w:rsidRPr="00CD56BD">
        <w:rPr>
          <w:szCs w:val="22"/>
        </w:rPr>
        <w:instrText>Roth IRA</w:instrText>
      </w:r>
      <w:r w:rsidR="00293611">
        <w:instrText xml:space="preserve">" </w:instrText>
      </w:r>
      <w:r w:rsidR="00A95039">
        <w:rPr>
          <w:szCs w:val="22"/>
        </w:rPr>
        <w:fldChar w:fldCharType="end"/>
      </w:r>
      <w:r>
        <w:rPr>
          <w:szCs w:val="22"/>
        </w:rPr>
        <w:t>.</w:t>
      </w:r>
      <w:r w:rsidR="009D330D" w:rsidRPr="009D330D">
        <w:rPr>
          <w:szCs w:val="22"/>
        </w:rPr>
        <w:t xml:space="preserve"> </w:t>
      </w:r>
      <w:r w:rsidR="009D330D">
        <w:rPr>
          <w:szCs w:val="22"/>
        </w:rPr>
        <w:t>The fundamental concept behind SIMPLEs is identical to that for SEPs: plan design and administrative convenience resulting in a plan that is relatively inexpensive to implement and produces employer savings when compared to traditional qualified plans.</w:t>
      </w:r>
    </w:p>
    <w:p w14:paraId="2DB20E60" w14:textId="77777777" w:rsidR="009D330D" w:rsidRDefault="009D330D" w:rsidP="009D330D">
      <w:pPr>
        <w:pStyle w:val="Heading3"/>
      </w:pPr>
      <w:bookmarkStart w:id="175" w:name="_Toc404357239"/>
      <w:r>
        <w:t>SIMPLEs Restricted to Small Employers</w:t>
      </w:r>
      <w:bookmarkEnd w:id="175"/>
    </w:p>
    <w:p w14:paraId="22DE33B2" w14:textId="77777777" w:rsidR="009D330D" w:rsidRDefault="00B63A64" w:rsidP="00825E0B">
      <w:pPr>
        <w:rPr>
          <w:szCs w:val="22"/>
        </w:rPr>
      </w:pPr>
      <w:r>
        <w:rPr>
          <w:szCs w:val="22"/>
        </w:rPr>
        <w:t xml:space="preserve">Unlike </w:t>
      </w:r>
      <w:r w:rsidR="009D330D">
        <w:rPr>
          <w:szCs w:val="22"/>
        </w:rPr>
        <w:t xml:space="preserve">the rules governing the establishment of a </w:t>
      </w:r>
      <w:r>
        <w:rPr>
          <w:szCs w:val="22"/>
        </w:rPr>
        <w:t>SEP, eligibility to establish a SIMPLE is restricted to small employers.</w:t>
      </w:r>
      <w:r w:rsidR="009D330D">
        <w:rPr>
          <w:szCs w:val="22"/>
        </w:rPr>
        <w:t xml:space="preserve"> </w:t>
      </w:r>
      <w:r w:rsidR="00CE1987">
        <w:rPr>
          <w:szCs w:val="22"/>
        </w:rPr>
        <w:t xml:space="preserve">In the context of SIMPLE plans, a </w:t>
      </w:r>
      <w:r w:rsidR="00297ACB">
        <w:rPr>
          <w:szCs w:val="22"/>
        </w:rPr>
        <w:t>“</w:t>
      </w:r>
      <w:r w:rsidR="00CE1987">
        <w:rPr>
          <w:szCs w:val="22"/>
        </w:rPr>
        <w:t>small employer</w:t>
      </w:r>
      <w:r w:rsidR="00A95039">
        <w:rPr>
          <w:szCs w:val="22"/>
        </w:rPr>
        <w:fldChar w:fldCharType="begin"/>
      </w:r>
      <w:r w:rsidR="00500F1D">
        <w:instrText xml:space="preserve"> XE "</w:instrText>
      </w:r>
      <w:r w:rsidR="00500F1D" w:rsidRPr="00CD56BD">
        <w:rPr>
          <w:szCs w:val="22"/>
        </w:rPr>
        <w:instrText>small employer</w:instrText>
      </w:r>
      <w:r w:rsidR="00500F1D">
        <w:instrText xml:space="preserve">" </w:instrText>
      </w:r>
      <w:r w:rsidR="00A95039">
        <w:rPr>
          <w:szCs w:val="22"/>
        </w:rPr>
        <w:fldChar w:fldCharType="end"/>
      </w:r>
      <w:r w:rsidR="00297ACB">
        <w:rPr>
          <w:szCs w:val="22"/>
        </w:rPr>
        <w:t>”</w:t>
      </w:r>
      <w:r w:rsidR="00CE1987">
        <w:rPr>
          <w:szCs w:val="22"/>
        </w:rPr>
        <w:t xml:space="preserve"> is one with 100 or fewer employees earning at least $5,000 annually. For purposes of this small employer limitation, all employees employed at any time during the calendar year are considered, even those employees who are excludable or ineligible to participate.</w:t>
      </w:r>
      <w:r w:rsidR="00297ACB">
        <w:rPr>
          <w:szCs w:val="22"/>
        </w:rPr>
        <w:t xml:space="preserve"> </w:t>
      </w:r>
    </w:p>
    <w:p w14:paraId="4171FDB2" w14:textId="77777777" w:rsidR="00CE1987" w:rsidRDefault="00CE1987" w:rsidP="00825E0B">
      <w:pPr>
        <w:rPr>
          <w:szCs w:val="22"/>
        </w:rPr>
      </w:pPr>
      <w:r>
        <w:rPr>
          <w:szCs w:val="22"/>
        </w:rPr>
        <w:t>In addition to regular employees that must be counted towards the 100 or fewer employees limitation, certain self-employed individuals who received earned income</w:t>
      </w:r>
      <w:r w:rsidR="00A95039">
        <w:rPr>
          <w:szCs w:val="22"/>
        </w:rPr>
        <w:fldChar w:fldCharType="begin"/>
      </w:r>
      <w:r w:rsidR="00293611">
        <w:instrText xml:space="preserve"> XE "</w:instrText>
      </w:r>
      <w:r w:rsidR="00293611" w:rsidRPr="00CD56BD">
        <w:rPr>
          <w:szCs w:val="22"/>
        </w:rPr>
        <w:instrText>earned income</w:instrText>
      </w:r>
      <w:r w:rsidR="00293611">
        <w:instrText xml:space="preserve">" </w:instrText>
      </w:r>
      <w:r w:rsidR="00A95039">
        <w:rPr>
          <w:szCs w:val="22"/>
        </w:rPr>
        <w:fldChar w:fldCharType="end"/>
      </w:r>
      <w:r>
        <w:rPr>
          <w:szCs w:val="22"/>
        </w:rPr>
        <w:t xml:space="preserve"> from the employer during the year must also be counted!</w:t>
      </w:r>
      <w:r w:rsidR="00297ACB">
        <w:rPr>
          <w:szCs w:val="22"/>
        </w:rPr>
        <w:t xml:space="preserve"> </w:t>
      </w:r>
      <w:r>
        <w:rPr>
          <w:szCs w:val="22"/>
        </w:rPr>
        <w:t>However, an employer that ceases to be eligible—because of an increase in the number of employees, for example—after having installed and maintained a SIMPLE IRA for at least 1 year will continue to be treated as eligible for the following 2 years.</w:t>
      </w:r>
    </w:p>
    <w:p w14:paraId="4D1E5AD3" w14:textId="77777777" w:rsidR="00A6447F" w:rsidRDefault="002B5103" w:rsidP="00825E0B">
      <w:pPr>
        <w:rPr>
          <w:szCs w:val="22"/>
        </w:rPr>
      </w:pPr>
      <w:r>
        <w:rPr>
          <w:szCs w:val="22"/>
        </w:rPr>
        <w:t xml:space="preserve">The eligible employer must not only meet </w:t>
      </w:r>
      <w:r w:rsidR="00CE1987">
        <w:rPr>
          <w:szCs w:val="22"/>
        </w:rPr>
        <w:t xml:space="preserve">the </w:t>
      </w:r>
      <w:r w:rsidR="00297ACB">
        <w:rPr>
          <w:szCs w:val="22"/>
        </w:rPr>
        <w:t>“</w:t>
      </w:r>
      <w:r w:rsidR="00CE1987">
        <w:rPr>
          <w:szCs w:val="22"/>
        </w:rPr>
        <w:t>small employer</w:t>
      </w:r>
      <w:r w:rsidR="00A95039">
        <w:rPr>
          <w:szCs w:val="22"/>
        </w:rPr>
        <w:fldChar w:fldCharType="begin"/>
      </w:r>
      <w:r w:rsidR="00500F1D">
        <w:instrText xml:space="preserve"> XE "</w:instrText>
      </w:r>
      <w:r w:rsidR="00500F1D" w:rsidRPr="00CD56BD">
        <w:rPr>
          <w:szCs w:val="22"/>
        </w:rPr>
        <w:instrText>small employer</w:instrText>
      </w:r>
      <w:r w:rsidR="00500F1D">
        <w:instrText xml:space="preserve">" </w:instrText>
      </w:r>
      <w:r w:rsidR="00A95039">
        <w:rPr>
          <w:szCs w:val="22"/>
        </w:rPr>
        <w:fldChar w:fldCharType="end"/>
      </w:r>
      <w:r w:rsidR="00297ACB">
        <w:rPr>
          <w:szCs w:val="22"/>
        </w:rPr>
        <w:t>”</w:t>
      </w:r>
      <w:r w:rsidR="00CE1987">
        <w:rPr>
          <w:szCs w:val="22"/>
        </w:rPr>
        <w:t xml:space="preserve"> definition, </w:t>
      </w:r>
      <w:r w:rsidR="00A6447F">
        <w:rPr>
          <w:szCs w:val="22"/>
        </w:rPr>
        <w:t>the SIMPLE IRA must generally be the employer’s sole retirement plan.</w:t>
      </w:r>
      <w:r w:rsidR="00297ACB">
        <w:rPr>
          <w:szCs w:val="22"/>
        </w:rPr>
        <w:t xml:space="preserve"> </w:t>
      </w:r>
      <w:r w:rsidR="00A6447F">
        <w:rPr>
          <w:szCs w:val="22"/>
        </w:rPr>
        <w:t>A SIMPLE IRA is not subject to nondiscrimination or top-heavy rules.</w:t>
      </w:r>
    </w:p>
    <w:p w14:paraId="208F1D3B" w14:textId="77777777" w:rsidR="007D7637" w:rsidRDefault="007D7637" w:rsidP="00825E0B">
      <w:pPr>
        <w:rPr>
          <w:szCs w:val="22"/>
        </w:rPr>
      </w:pPr>
      <w:r>
        <w:rPr>
          <w:szCs w:val="22"/>
        </w:rPr>
        <w:t>In addition to the more economical administration of SIMPLEs, when compared to traditional qualified plans, an employer that employs a large number of part-time employees earning less than $5,000 may find a SIMPLE a more desirable plan than a SEP.</w:t>
      </w:r>
      <w:r w:rsidR="00297ACB">
        <w:rPr>
          <w:szCs w:val="22"/>
        </w:rPr>
        <w:t xml:space="preserve"> </w:t>
      </w:r>
      <w:r>
        <w:rPr>
          <w:szCs w:val="22"/>
        </w:rPr>
        <w:t>Unlike a SEP, which must include any employee earning at least $</w:t>
      </w:r>
      <w:r w:rsidR="000C4717">
        <w:rPr>
          <w:szCs w:val="22"/>
        </w:rPr>
        <w:t>600</w:t>
      </w:r>
      <w:r>
        <w:rPr>
          <w:szCs w:val="22"/>
        </w:rPr>
        <w:t>, a SIMPLE may generally exclude employees that are expected to earn less than $5,000.</w:t>
      </w:r>
      <w:r w:rsidR="00297ACB">
        <w:rPr>
          <w:szCs w:val="22"/>
        </w:rPr>
        <w:t xml:space="preserve"> </w:t>
      </w:r>
      <w:r>
        <w:rPr>
          <w:szCs w:val="22"/>
        </w:rPr>
        <w:t>By excluding these part-time, lower-paid employees, the employer reduces required contributions and, compared to traditional qualified plans, the expense of many small accounts that are likely to be forfeited under the traditional plan’s deferred vesting schedule.</w:t>
      </w:r>
    </w:p>
    <w:p w14:paraId="2D612C56" w14:textId="77777777" w:rsidR="007D7637" w:rsidRPr="009F458F" w:rsidRDefault="00942F50" w:rsidP="005B6340">
      <w:pPr>
        <w:pStyle w:val="Heading2"/>
        <w:rPr>
          <w:sz w:val="22"/>
          <w:szCs w:val="22"/>
        </w:rPr>
      </w:pPr>
      <w:bookmarkStart w:id="176" w:name="_Toc48025284"/>
      <w:bookmarkStart w:id="177" w:name="_Toc404357240"/>
      <w:r>
        <w:t xml:space="preserve">SIMPLE IRA </w:t>
      </w:r>
      <w:r w:rsidR="007D7637" w:rsidRPr="009F458F">
        <w:t>Contributions</w:t>
      </w:r>
      <w:bookmarkEnd w:id="176"/>
      <w:bookmarkEnd w:id="177"/>
    </w:p>
    <w:p w14:paraId="03EEB929" w14:textId="77777777" w:rsidR="007D7637" w:rsidRDefault="007D7637" w:rsidP="00825E0B">
      <w:pPr>
        <w:rPr>
          <w:szCs w:val="22"/>
        </w:rPr>
      </w:pPr>
      <w:r>
        <w:rPr>
          <w:szCs w:val="22"/>
        </w:rPr>
        <w:t>Contributions to a SIMPLE IRA may come from two sources:</w:t>
      </w:r>
    </w:p>
    <w:p w14:paraId="78420C2B" w14:textId="77777777" w:rsidR="00C62ECC" w:rsidRPr="00781311" w:rsidRDefault="00C62ECC" w:rsidP="007A5E54">
      <w:pPr>
        <w:numPr>
          <w:ilvl w:val="0"/>
          <w:numId w:val="32"/>
        </w:numPr>
        <w:contextualSpacing/>
      </w:pPr>
      <w:r w:rsidRPr="00781311">
        <w:t>Elective contributions by employees</w:t>
      </w:r>
      <w:r w:rsidR="0026359E">
        <w:t>;</w:t>
      </w:r>
      <w:r w:rsidR="00781311" w:rsidRPr="00781311">
        <w:t xml:space="preserve"> </w:t>
      </w:r>
      <w:r w:rsidRPr="00781311">
        <w:t>and</w:t>
      </w:r>
    </w:p>
    <w:p w14:paraId="18D9C941" w14:textId="77777777" w:rsidR="00C62ECC" w:rsidRPr="00781311" w:rsidRDefault="00C62ECC" w:rsidP="007A5E54">
      <w:pPr>
        <w:numPr>
          <w:ilvl w:val="0"/>
          <w:numId w:val="32"/>
        </w:numPr>
        <w:contextualSpacing/>
      </w:pPr>
      <w:r w:rsidRPr="00781311">
        <w:lastRenderedPageBreak/>
        <w:t>Employer contributions</w:t>
      </w:r>
      <w:r w:rsidR="0026359E">
        <w:t>.</w:t>
      </w:r>
    </w:p>
    <w:p w14:paraId="760A915C" w14:textId="77777777" w:rsidR="00942F50" w:rsidRDefault="00942F50" w:rsidP="00942F50">
      <w:pPr>
        <w:pStyle w:val="Heading3"/>
      </w:pPr>
      <w:bookmarkStart w:id="178" w:name="_Toc404357241"/>
      <w:r>
        <w:t>Employee Elective Contributions</w:t>
      </w:r>
      <w:bookmarkEnd w:id="178"/>
    </w:p>
    <w:p w14:paraId="0E7772F5" w14:textId="77777777" w:rsidR="00C62ECC" w:rsidRDefault="00C62ECC" w:rsidP="00825E0B">
      <w:pPr>
        <w:rPr>
          <w:szCs w:val="22"/>
        </w:rPr>
      </w:pPr>
      <w:r>
        <w:rPr>
          <w:szCs w:val="22"/>
        </w:rPr>
        <w:t>E</w:t>
      </w:r>
      <w:r w:rsidR="00931586">
        <w:rPr>
          <w:szCs w:val="22"/>
        </w:rPr>
        <w:t>mployee e</w:t>
      </w:r>
      <w:r>
        <w:rPr>
          <w:szCs w:val="22"/>
        </w:rPr>
        <w:t>lective contributions</w:t>
      </w:r>
      <w:r w:rsidR="00A95039">
        <w:rPr>
          <w:szCs w:val="22"/>
        </w:rPr>
        <w:fldChar w:fldCharType="begin"/>
      </w:r>
      <w:r w:rsidR="00500F1D">
        <w:instrText xml:space="preserve"> XE "</w:instrText>
      </w:r>
      <w:r w:rsidR="00500F1D" w:rsidRPr="00CD56BD">
        <w:rPr>
          <w:szCs w:val="22"/>
        </w:rPr>
        <w:instrText>SIMPLE employee elective contributions</w:instrText>
      </w:r>
      <w:r w:rsidR="00500F1D">
        <w:instrText xml:space="preserve">" </w:instrText>
      </w:r>
      <w:r w:rsidR="00A95039">
        <w:rPr>
          <w:szCs w:val="22"/>
        </w:rPr>
        <w:fldChar w:fldCharType="end"/>
      </w:r>
      <w:r>
        <w:rPr>
          <w:szCs w:val="22"/>
        </w:rPr>
        <w:t xml:space="preserve"> are made under a qualified salary reduction arrangement</w:t>
      </w:r>
      <w:r w:rsidR="00A95039">
        <w:rPr>
          <w:szCs w:val="22"/>
        </w:rPr>
        <w:fldChar w:fldCharType="begin"/>
      </w:r>
      <w:r w:rsidR="00500F1D">
        <w:instrText xml:space="preserve"> XE "</w:instrText>
      </w:r>
      <w:r w:rsidR="00500F1D" w:rsidRPr="00CD56BD">
        <w:rPr>
          <w:szCs w:val="22"/>
        </w:rPr>
        <w:instrText>salary reduction arrangement</w:instrText>
      </w:r>
      <w:r w:rsidR="00500F1D">
        <w:instrText xml:space="preserve">" </w:instrText>
      </w:r>
      <w:r w:rsidR="00A95039">
        <w:rPr>
          <w:szCs w:val="22"/>
        </w:rPr>
        <w:fldChar w:fldCharType="end"/>
      </w:r>
      <w:r>
        <w:rPr>
          <w:szCs w:val="22"/>
        </w:rPr>
        <w:t>.</w:t>
      </w:r>
      <w:r w:rsidR="00297ACB">
        <w:rPr>
          <w:szCs w:val="22"/>
        </w:rPr>
        <w:t xml:space="preserve"> </w:t>
      </w:r>
      <w:r>
        <w:rPr>
          <w:szCs w:val="22"/>
        </w:rPr>
        <w:t>A qualified salary reduction arrangement is a written arrangement of an eligible employer under which employees that are eligible to participate may elect to receive payments in cash or contribute them to a SIMPLE IRA and to which the employer may make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Pr>
          <w:szCs w:val="22"/>
        </w:rPr>
        <w:t xml:space="preserve"> or nonelective contributions.</w:t>
      </w:r>
    </w:p>
    <w:p w14:paraId="1781D049" w14:textId="77777777" w:rsidR="00C62ECC" w:rsidRDefault="00C62ECC" w:rsidP="00825E0B">
      <w:pPr>
        <w:rPr>
          <w:szCs w:val="22"/>
        </w:rPr>
      </w:pPr>
      <w:r>
        <w:rPr>
          <w:szCs w:val="22"/>
        </w:rPr>
        <w:t>Except for certain catch-up contributions</w:t>
      </w:r>
      <w:r w:rsidR="00A95039">
        <w:rPr>
          <w:szCs w:val="22"/>
        </w:rPr>
        <w:fldChar w:fldCharType="begin"/>
      </w:r>
      <w:r w:rsidR="00500F1D">
        <w:instrText xml:space="preserve"> XE "</w:instrText>
      </w:r>
      <w:r w:rsidR="00500F1D" w:rsidRPr="00CD56BD">
        <w:rPr>
          <w:szCs w:val="22"/>
        </w:rPr>
        <w:instrText>catch-up contributions</w:instrText>
      </w:r>
      <w:r w:rsidR="00500F1D">
        <w:instrText xml:space="preserve">" </w:instrText>
      </w:r>
      <w:r w:rsidR="00A95039">
        <w:rPr>
          <w:szCs w:val="22"/>
        </w:rPr>
        <w:fldChar w:fldCharType="end"/>
      </w:r>
      <w:r>
        <w:rPr>
          <w:szCs w:val="22"/>
        </w:rPr>
        <w:t xml:space="preserve"> that may be made by employees age 50 or older, elective contributions </w:t>
      </w:r>
      <w:r w:rsidR="009B1AE2">
        <w:rPr>
          <w:szCs w:val="22"/>
        </w:rPr>
        <w:t xml:space="preserve">to a SIMPLE IRA </w:t>
      </w:r>
      <w:r w:rsidR="00914F42">
        <w:rPr>
          <w:szCs w:val="22"/>
        </w:rPr>
        <w:t>are limited to no more than $</w:t>
      </w:r>
      <w:r w:rsidR="00F264DD">
        <w:rPr>
          <w:szCs w:val="22"/>
        </w:rPr>
        <w:t>12,</w:t>
      </w:r>
      <w:r w:rsidR="000C4717">
        <w:rPr>
          <w:szCs w:val="22"/>
        </w:rPr>
        <w:t>5</w:t>
      </w:r>
      <w:r w:rsidR="00F264DD">
        <w:rPr>
          <w:szCs w:val="22"/>
        </w:rPr>
        <w:t>00</w:t>
      </w:r>
      <w:r w:rsidR="00914F42">
        <w:rPr>
          <w:szCs w:val="22"/>
        </w:rPr>
        <w:t xml:space="preserve"> in </w:t>
      </w:r>
      <w:r w:rsidR="00DA5676">
        <w:rPr>
          <w:szCs w:val="22"/>
        </w:rPr>
        <w:t>20</w:t>
      </w:r>
      <w:r w:rsidR="008906FA">
        <w:rPr>
          <w:szCs w:val="22"/>
        </w:rPr>
        <w:t>1</w:t>
      </w:r>
      <w:r w:rsidR="000C4717">
        <w:rPr>
          <w:szCs w:val="22"/>
        </w:rPr>
        <w:t>5</w:t>
      </w:r>
      <w:r w:rsidR="009B1AE2">
        <w:rPr>
          <w:szCs w:val="22"/>
        </w:rPr>
        <w:t>.</w:t>
      </w:r>
      <w:r w:rsidR="00297ACB">
        <w:rPr>
          <w:szCs w:val="22"/>
        </w:rPr>
        <w:t xml:space="preserve"> </w:t>
      </w:r>
      <w:r w:rsidR="009B1AE2">
        <w:rPr>
          <w:szCs w:val="22"/>
        </w:rPr>
        <w:t xml:space="preserve">Elective contributions to a SIMPLE IRA are counted in the overall limit on elective deferrals </w:t>
      </w:r>
      <w:r w:rsidR="007544AE">
        <w:rPr>
          <w:szCs w:val="22"/>
        </w:rPr>
        <w:t xml:space="preserve">that may be made </w:t>
      </w:r>
      <w:r w:rsidR="009B1AE2">
        <w:rPr>
          <w:szCs w:val="22"/>
        </w:rPr>
        <w:t>by any individual.</w:t>
      </w:r>
      <w:r w:rsidR="00297ACB">
        <w:rPr>
          <w:szCs w:val="22"/>
        </w:rPr>
        <w:t xml:space="preserve"> </w:t>
      </w:r>
      <w:r w:rsidR="009B1AE2">
        <w:rPr>
          <w:szCs w:val="22"/>
        </w:rPr>
        <w:t>The practical result of the overall limit on elective deferrals</w:t>
      </w:r>
      <w:r w:rsidR="007544AE">
        <w:rPr>
          <w:szCs w:val="22"/>
        </w:rPr>
        <w:t xml:space="preserve"> in this case is to reduce the amount that may be contributed by an employee who is covered under the plans of two employers.</w:t>
      </w:r>
      <w:r w:rsidR="00297ACB">
        <w:rPr>
          <w:szCs w:val="22"/>
        </w:rPr>
        <w:t xml:space="preserve"> </w:t>
      </w:r>
      <w:r w:rsidR="007544AE">
        <w:rPr>
          <w:szCs w:val="22"/>
        </w:rPr>
        <w:t>For example, an employee in a SIMPLE IRA would be able to make elective contribu</w:t>
      </w:r>
      <w:r w:rsidR="00D27BC3">
        <w:rPr>
          <w:szCs w:val="22"/>
        </w:rPr>
        <w:t xml:space="preserve">tions in </w:t>
      </w:r>
      <w:r w:rsidR="00DA5676">
        <w:rPr>
          <w:szCs w:val="22"/>
        </w:rPr>
        <w:t>20</w:t>
      </w:r>
      <w:r w:rsidR="008906FA">
        <w:rPr>
          <w:szCs w:val="22"/>
        </w:rPr>
        <w:t>1</w:t>
      </w:r>
      <w:r w:rsidR="000C4717">
        <w:rPr>
          <w:szCs w:val="22"/>
        </w:rPr>
        <w:t>5</w:t>
      </w:r>
      <w:r w:rsidR="00D27BC3">
        <w:rPr>
          <w:szCs w:val="22"/>
        </w:rPr>
        <w:t xml:space="preserve"> of $</w:t>
      </w:r>
      <w:r w:rsidR="00F264DD">
        <w:rPr>
          <w:szCs w:val="22"/>
        </w:rPr>
        <w:t>12,</w:t>
      </w:r>
      <w:r w:rsidR="000C4717">
        <w:rPr>
          <w:szCs w:val="22"/>
        </w:rPr>
        <w:t>5</w:t>
      </w:r>
      <w:r w:rsidR="00F264DD">
        <w:rPr>
          <w:szCs w:val="22"/>
        </w:rPr>
        <w:t>00</w:t>
      </w:r>
      <w:r w:rsidR="007544AE">
        <w:rPr>
          <w:szCs w:val="22"/>
        </w:rPr>
        <w:t>.</w:t>
      </w:r>
      <w:r w:rsidR="00297ACB">
        <w:rPr>
          <w:szCs w:val="22"/>
        </w:rPr>
        <w:t xml:space="preserve"> </w:t>
      </w:r>
      <w:r w:rsidR="007544AE">
        <w:rPr>
          <w:szCs w:val="22"/>
        </w:rPr>
        <w:t>However, if that employee was also employed by an employer that maintained a 401(k) plan, he or she would be permitte</w:t>
      </w:r>
      <w:r w:rsidR="00D27BC3">
        <w:rPr>
          <w:szCs w:val="22"/>
        </w:rPr>
        <w:t>d only to defer an additional $5,</w:t>
      </w:r>
      <w:r w:rsidR="0026359E">
        <w:rPr>
          <w:szCs w:val="22"/>
        </w:rPr>
        <w:t>5</w:t>
      </w:r>
      <w:r w:rsidR="00D27BC3">
        <w:rPr>
          <w:szCs w:val="22"/>
        </w:rPr>
        <w:t xml:space="preserve">00 in </w:t>
      </w:r>
      <w:r w:rsidR="00DA5676">
        <w:rPr>
          <w:szCs w:val="22"/>
        </w:rPr>
        <w:t>20</w:t>
      </w:r>
      <w:r w:rsidR="008906FA">
        <w:rPr>
          <w:szCs w:val="22"/>
        </w:rPr>
        <w:t>1</w:t>
      </w:r>
      <w:r w:rsidR="000C4717">
        <w:rPr>
          <w:szCs w:val="22"/>
        </w:rPr>
        <w:t>5</w:t>
      </w:r>
      <w:r w:rsidR="00D27BC3">
        <w:rPr>
          <w:szCs w:val="22"/>
        </w:rPr>
        <w:t xml:space="preserve"> because of the $</w:t>
      </w:r>
      <w:r w:rsidR="000C4717">
        <w:rPr>
          <w:szCs w:val="22"/>
        </w:rPr>
        <w:t>18,000</w:t>
      </w:r>
      <w:r w:rsidR="007544AE">
        <w:rPr>
          <w:szCs w:val="22"/>
        </w:rPr>
        <w:t xml:space="preserve"> overall limit on elective deferrals.</w:t>
      </w:r>
    </w:p>
    <w:p w14:paraId="6A204B98" w14:textId="77777777" w:rsidR="008F34AE" w:rsidRDefault="00887A0E" w:rsidP="00825E0B">
      <w:pPr>
        <w:rPr>
          <w:szCs w:val="22"/>
        </w:rPr>
      </w:pPr>
      <w:r>
        <w:rPr>
          <w:szCs w:val="22"/>
        </w:rPr>
        <w:t>Each year, each employee that is eligible to participate in a SIMPLE IRA can elect, during the 60-day period preceding that year, to participate in the salary reduction arrangement</w:t>
      </w:r>
      <w:r w:rsidR="00A95039">
        <w:rPr>
          <w:szCs w:val="22"/>
        </w:rPr>
        <w:fldChar w:fldCharType="begin"/>
      </w:r>
      <w:r w:rsidR="00500F1D">
        <w:instrText xml:space="preserve"> XE "</w:instrText>
      </w:r>
      <w:r w:rsidR="00500F1D" w:rsidRPr="00CD56BD">
        <w:rPr>
          <w:szCs w:val="22"/>
        </w:rPr>
        <w:instrText>salary reduction arrangement</w:instrText>
      </w:r>
      <w:r w:rsidR="00500F1D">
        <w:instrText xml:space="preserve">" </w:instrText>
      </w:r>
      <w:r w:rsidR="00A95039">
        <w:rPr>
          <w:szCs w:val="22"/>
        </w:rPr>
        <w:fldChar w:fldCharType="end"/>
      </w:r>
      <w:r>
        <w:rPr>
          <w:szCs w:val="22"/>
        </w:rPr>
        <w:t xml:space="preserve"> or modify the amount of the elective contribution.</w:t>
      </w:r>
    </w:p>
    <w:p w14:paraId="74010691" w14:textId="77777777" w:rsidR="00810348" w:rsidRDefault="00810348" w:rsidP="00810348">
      <w:pPr>
        <w:pStyle w:val="Heading4"/>
      </w:pPr>
      <w:bookmarkStart w:id="179" w:name="_Toc404357242"/>
      <w:r>
        <w:t>Catch-up Contributions</w:t>
      </w:r>
      <w:bookmarkEnd w:id="179"/>
    </w:p>
    <w:p w14:paraId="6665EEA5" w14:textId="77777777" w:rsidR="008838A6" w:rsidRDefault="00DE00E5" w:rsidP="00810348">
      <w:pPr>
        <w:spacing w:before="120"/>
        <w:rPr>
          <w:szCs w:val="22"/>
        </w:rPr>
      </w:pPr>
      <w:r>
        <w:rPr>
          <w:szCs w:val="22"/>
        </w:rPr>
        <w:t>The Economic Growth and Tax Relief Reconciliation Act (EGTRRA) of 2001authorizes certain salary reduction catch-up contributions</w:t>
      </w:r>
      <w:r w:rsidR="00A95039">
        <w:rPr>
          <w:szCs w:val="22"/>
        </w:rPr>
        <w:fldChar w:fldCharType="begin"/>
      </w:r>
      <w:r w:rsidR="00500F1D">
        <w:instrText xml:space="preserve"> XE "</w:instrText>
      </w:r>
      <w:r w:rsidR="00500F1D" w:rsidRPr="00CD56BD">
        <w:rPr>
          <w:szCs w:val="22"/>
        </w:rPr>
        <w:instrText>catch-up contributions</w:instrText>
      </w:r>
      <w:r w:rsidR="00500F1D">
        <w:instrText xml:space="preserve">" </w:instrText>
      </w:r>
      <w:r w:rsidR="00A95039">
        <w:rPr>
          <w:szCs w:val="22"/>
        </w:rPr>
        <w:fldChar w:fldCharType="end"/>
      </w:r>
      <w:r>
        <w:rPr>
          <w:szCs w:val="22"/>
        </w:rPr>
        <w:t xml:space="preserve"> that may be made </w:t>
      </w:r>
      <w:r>
        <w:rPr>
          <w:i/>
          <w:szCs w:val="22"/>
        </w:rPr>
        <w:t>in addition to</w:t>
      </w:r>
      <w:r>
        <w:rPr>
          <w:szCs w:val="22"/>
        </w:rPr>
        <w:t xml:space="preserve"> the elective contributions limit.</w:t>
      </w:r>
      <w:r w:rsidR="00297ACB">
        <w:rPr>
          <w:szCs w:val="22"/>
        </w:rPr>
        <w:t xml:space="preserve"> </w:t>
      </w:r>
      <w:r>
        <w:rPr>
          <w:szCs w:val="22"/>
        </w:rPr>
        <w:t>The catch-up amount for SIMPLE IRAs and SIMPLE 401(k) plans is smaller than it is for SEPs, 401(k) plans, 403(b) plans and 457 plans</w:t>
      </w:r>
      <w:r w:rsidR="00B557BD">
        <w:rPr>
          <w:szCs w:val="22"/>
        </w:rPr>
        <w:t xml:space="preserve"> and is as shown in the table below</w:t>
      </w:r>
      <w:r>
        <w:rPr>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90"/>
        <w:gridCol w:w="2870"/>
      </w:tblGrid>
      <w:tr w:rsidR="00DE00E5" w:rsidRPr="006D389B" w14:paraId="6F81AFC1" w14:textId="77777777" w:rsidTr="006D389B">
        <w:trPr>
          <w:jc w:val="center"/>
        </w:trPr>
        <w:tc>
          <w:tcPr>
            <w:tcW w:w="2890" w:type="dxa"/>
            <w:tcBorders>
              <w:top w:val="single" w:sz="12" w:space="0" w:color="auto"/>
              <w:left w:val="single" w:sz="12" w:space="0" w:color="auto"/>
              <w:bottom w:val="single" w:sz="12" w:space="0" w:color="auto"/>
              <w:right w:val="single" w:sz="6" w:space="0" w:color="auto"/>
              <w:tl2br w:val="nil"/>
              <w:tr2bl w:val="nil"/>
            </w:tcBorders>
            <w:shd w:val="clear" w:color="auto" w:fill="E3F4FF"/>
          </w:tcPr>
          <w:p w14:paraId="6F812773" w14:textId="77777777" w:rsidR="00DE00E5" w:rsidRPr="005B6340" w:rsidRDefault="00F06597" w:rsidP="00781311">
            <w:pPr>
              <w:pStyle w:val="WTableHeaderChar"/>
            </w:pPr>
            <w:r>
              <w:rPr>
                <w:b w:val="0"/>
              </w:rPr>
              <w:br w:type="page"/>
            </w:r>
            <w:r w:rsidR="008838A6">
              <w:br w:type="page"/>
            </w:r>
            <w:r w:rsidR="00DE00E5" w:rsidRPr="005B6340">
              <w:t>Year</w:t>
            </w:r>
          </w:p>
        </w:tc>
        <w:tc>
          <w:tcPr>
            <w:tcW w:w="2870" w:type="dxa"/>
            <w:tcBorders>
              <w:top w:val="single" w:sz="12" w:space="0" w:color="auto"/>
              <w:left w:val="single" w:sz="6" w:space="0" w:color="auto"/>
              <w:bottom w:val="single" w:sz="12" w:space="0" w:color="auto"/>
              <w:right w:val="single" w:sz="12" w:space="0" w:color="auto"/>
              <w:tl2br w:val="nil"/>
              <w:tr2bl w:val="nil"/>
            </w:tcBorders>
            <w:shd w:val="clear" w:color="auto" w:fill="E3F4FF"/>
          </w:tcPr>
          <w:p w14:paraId="48D35C1D" w14:textId="77777777" w:rsidR="00DE00E5" w:rsidRPr="005B6340" w:rsidRDefault="00DE00E5" w:rsidP="00781311">
            <w:pPr>
              <w:pStyle w:val="WTableHeaderChar"/>
            </w:pPr>
            <w:r w:rsidRPr="005B6340">
              <w:t>Catch-</w:t>
            </w:r>
            <w:r w:rsidR="00074522">
              <w:t>U</w:t>
            </w:r>
            <w:r w:rsidRPr="005B6340">
              <w:t>p Amount</w:t>
            </w:r>
          </w:p>
        </w:tc>
      </w:tr>
      <w:tr w:rsidR="00DE00E5" w:rsidRPr="006D389B" w14:paraId="4DBEC242" w14:textId="77777777" w:rsidTr="006D389B">
        <w:trPr>
          <w:jc w:val="center"/>
        </w:trPr>
        <w:tc>
          <w:tcPr>
            <w:tcW w:w="2890" w:type="dxa"/>
            <w:tcBorders>
              <w:bottom w:val="single" w:sz="6" w:space="0" w:color="auto"/>
              <w:right w:val="single" w:sz="6" w:space="0" w:color="auto"/>
            </w:tcBorders>
          </w:tcPr>
          <w:p w14:paraId="5D407C8B" w14:textId="77777777" w:rsidR="00DE00E5" w:rsidRPr="0049046B" w:rsidRDefault="00DE00E5" w:rsidP="006D389B">
            <w:pPr>
              <w:pStyle w:val="wTableNormal"/>
              <w:jc w:val="center"/>
              <w:rPr>
                <w:sz w:val="18"/>
                <w:szCs w:val="18"/>
              </w:rPr>
            </w:pPr>
            <w:r w:rsidRPr="0049046B">
              <w:rPr>
                <w:sz w:val="18"/>
                <w:szCs w:val="18"/>
              </w:rPr>
              <w:t>2005</w:t>
            </w:r>
          </w:p>
        </w:tc>
        <w:tc>
          <w:tcPr>
            <w:tcW w:w="2870" w:type="dxa"/>
            <w:tcBorders>
              <w:left w:val="single" w:sz="6" w:space="0" w:color="auto"/>
              <w:bottom w:val="single" w:sz="6" w:space="0" w:color="auto"/>
            </w:tcBorders>
          </w:tcPr>
          <w:p w14:paraId="0DF6BD09" w14:textId="77777777" w:rsidR="00DE00E5" w:rsidRPr="0049046B" w:rsidRDefault="005B6340" w:rsidP="00455431">
            <w:pPr>
              <w:pStyle w:val="wTableNormal"/>
              <w:ind w:right="1242"/>
              <w:jc w:val="right"/>
              <w:rPr>
                <w:sz w:val="18"/>
                <w:szCs w:val="18"/>
              </w:rPr>
            </w:pPr>
            <w:r w:rsidRPr="0049046B">
              <w:rPr>
                <w:sz w:val="18"/>
                <w:szCs w:val="18"/>
              </w:rPr>
              <w:t>$</w:t>
            </w:r>
            <w:r w:rsidR="00DE00E5" w:rsidRPr="0049046B">
              <w:rPr>
                <w:sz w:val="18"/>
                <w:szCs w:val="18"/>
              </w:rPr>
              <w:t>2,000</w:t>
            </w:r>
          </w:p>
        </w:tc>
      </w:tr>
      <w:tr w:rsidR="00455B1D" w:rsidRPr="006D389B" w14:paraId="40195231" w14:textId="77777777" w:rsidTr="006D389B">
        <w:trPr>
          <w:trHeight w:val="270"/>
          <w:jc w:val="center"/>
        </w:trPr>
        <w:tc>
          <w:tcPr>
            <w:tcW w:w="2890" w:type="dxa"/>
            <w:tcBorders>
              <w:top w:val="single" w:sz="6" w:space="0" w:color="auto"/>
              <w:bottom w:val="single" w:sz="6" w:space="0" w:color="auto"/>
              <w:right w:val="single" w:sz="6" w:space="0" w:color="auto"/>
            </w:tcBorders>
          </w:tcPr>
          <w:p w14:paraId="2A2F3C76" w14:textId="77777777" w:rsidR="00455B1D" w:rsidRPr="0049046B" w:rsidRDefault="00455B1D" w:rsidP="0016130A">
            <w:pPr>
              <w:pStyle w:val="wTableNormal"/>
              <w:jc w:val="center"/>
              <w:rPr>
                <w:sz w:val="18"/>
                <w:szCs w:val="18"/>
              </w:rPr>
            </w:pPr>
            <w:r w:rsidRPr="0049046B">
              <w:rPr>
                <w:sz w:val="18"/>
                <w:szCs w:val="18"/>
              </w:rPr>
              <w:t>2006</w:t>
            </w:r>
            <w:r w:rsidR="0026359E" w:rsidRPr="0049046B">
              <w:rPr>
                <w:sz w:val="18"/>
                <w:szCs w:val="18"/>
              </w:rPr>
              <w:t xml:space="preserve"> - 201</w:t>
            </w:r>
            <w:r w:rsidR="0016130A">
              <w:rPr>
                <w:sz w:val="18"/>
                <w:szCs w:val="18"/>
              </w:rPr>
              <w:t>4</w:t>
            </w:r>
            <w:r w:rsidRPr="0049046B">
              <w:rPr>
                <w:sz w:val="18"/>
                <w:szCs w:val="18"/>
              </w:rPr>
              <w:t xml:space="preserve"> </w:t>
            </w:r>
          </w:p>
        </w:tc>
        <w:tc>
          <w:tcPr>
            <w:tcW w:w="2870" w:type="dxa"/>
            <w:tcBorders>
              <w:top w:val="single" w:sz="6" w:space="0" w:color="auto"/>
              <w:left w:val="single" w:sz="6" w:space="0" w:color="auto"/>
              <w:bottom w:val="single" w:sz="6" w:space="0" w:color="auto"/>
            </w:tcBorders>
          </w:tcPr>
          <w:p w14:paraId="712F5694" w14:textId="77777777" w:rsidR="00455B1D" w:rsidRPr="0049046B" w:rsidRDefault="00455B1D" w:rsidP="000C4717">
            <w:pPr>
              <w:pStyle w:val="wTableNormal"/>
              <w:ind w:right="1242"/>
              <w:jc w:val="right"/>
              <w:rPr>
                <w:sz w:val="18"/>
                <w:szCs w:val="18"/>
              </w:rPr>
            </w:pPr>
            <w:r w:rsidRPr="0049046B">
              <w:rPr>
                <w:sz w:val="18"/>
                <w:szCs w:val="18"/>
              </w:rPr>
              <w:t xml:space="preserve">  $2,500</w:t>
            </w:r>
          </w:p>
        </w:tc>
      </w:tr>
      <w:tr w:rsidR="000C4717" w:rsidRPr="006D389B" w14:paraId="1028BB96" w14:textId="77777777" w:rsidTr="006D389B">
        <w:trPr>
          <w:trHeight w:val="270"/>
          <w:jc w:val="center"/>
        </w:trPr>
        <w:tc>
          <w:tcPr>
            <w:tcW w:w="2890" w:type="dxa"/>
            <w:tcBorders>
              <w:top w:val="single" w:sz="6" w:space="0" w:color="auto"/>
              <w:bottom w:val="single" w:sz="6" w:space="0" w:color="auto"/>
              <w:right w:val="single" w:sz="6" w:space="0" w:color="auto"/>
            </w:tcBorders>
          </w:tcPr>
          <w:p w14:paraId="26730755" w14:textId="77777777" w:rsidR="000C4717" w:rsidRPr="0049046B" w:rsidRDefault="000C4717" w:rsidP="0016130A">
            <w:pPr>
              <w:pStyle w:val="wTableNormal"/>
              <w:jc w:val="center"/>
              <w:rPr>
                <w:sz w:val="18"/>
                <w:szCs w:val="18"/>
              </w:rPr>
            </w:pPr>
            <w:r>
              <w:rPr>
                <w:sz w:val="18"/>
                <w:szCs w:val="18"/>
              </w:rPr>
              <w:t>2015</w:t>
            </w:r>
          </w:p>
        </w:tc>
        <w:tc>
          <w:tcPr>
            <w:tcW w:w="2870" w:type="dxa"/>
            <w:tcBorders>
              <w:top w:val="single" w:sz="6" w:space="0" w:color="auto"/>
              <w:left w:val="single" w:sz="6" w:space="0" w:color="auto"/>
              <w:bottom w:val="single" w:sz="6" w:space="0" w:color="auto"/>
            </w:tcBorders>
          </w:tcPr>
          <w:p w14:paraId="25ED0014" w14:textId="77777777" w:rsidR="000C4717" w:rsidRPr="0049046B" w:rsidRDefault="000C4717" w:rsidP="00455431">
            <w:pPr>
              <w:pStyle w:val="wTableNormal"/>
              <w:ind w:right="1242"/>
              <w:jc w:val="right"/>
              <w:rPr>
                <w:sz w:val="18"/>
                <w:szCs w:val="18"/>
              </w:rPr>
            </w:pPr>
            <w:r>
              <w:rPr>
                <w:sz w:val="18"/>
                <w:szCs w:val="18"/>
              </w:rPr>
              <w:t>$3,000*</w:t>
            </w:r>
          </w:p>
        </w:tc>
      </w:tr>
      <w:tr w:rsidR="00455B1D" w:rsidRPr="006D389B" w14:paraId="77F5F926" w14:textId="77777777" w:rsidTr="006D389B">
        <w:trPr>
          <w:trHeight w:val="270"/>
          <w:jc w:val="center"/>
        </w:trPr>
        <w:tc>
          <w:tcPr>
            <w:tcW w:w="5760" w:type="dxa"/>
            <w:gridSpan w:val="2"/>
            <w:tcBorders>
              <w:top w:val="single" w:sz="6" w:space="0" w:color="auto"/>
            </w:tcBorders>
          </w:tcPr>
          <w:p w14:paraId="05B12570" w14:textId="77777777" w:rsidR="00455B1D" w:rsidRPr="0049046B" w:rsidRDefault="00455B1D" w:rsidP="00455B1D">
            <w:pPr>
              <w:pStyle w:val="wTableNormal"/>
              <w:rPr>
                <w:sz w:val="18"/>
                <w:szCs w:val="18"/>
              </w:rPr>
            </w:pPr>
            <w:r w:rsidRPr="0049046B">
              <w:rPr>
                <w:sz w:val="18"/>
                <w:szCs w:val="18"/>
              </w:rPr>
              <w:t>*Indexed for inflation in $500 increments</w:t>
            </w:r>
          </w:p>
        </w:tc>
      </w:tr>
    </w:tbl>
    <w:p w14:paraId="3264213D" w14:textId="77777777" w:rsidR="00B557BD" w:rsidRDefault="00B557BD" w:rsidP="00810348">
      <w:pPr>
        <w:spacing w:before="120"/>
        <w:rPr>
          <w:szCs w:val="22"/>
        </w:rPr>
      </w:pPr>
      <w:r>
        <w:rPr>
          <w:szCs w:val="22"/>
        </w:rPr>
        <w:t xml:space="preserve">In addition to elective contributions authorized in a salary reduction agreement, an employer that sponsors a SIMPLE IRA must make contributions </w:t>
      </w:r>
      <w:r w:rsidR="00887A0E">
        <w:rPr>
          <w:szCs w:val="22"/>
        </w:rPr>
        <w:t xml:space="preserve">each year </w:t>
      </w:r>
      <w:r>
        <w:rPr>
          <w:szCs w:val="22"/>
        </w:rPr>
        <w:t>that are either:</w:t>
      </w:r>
    </w:p>
    <w:p w14:paraId="465BF382" w14:textId="77777777" w:rsidR="00B557BD" w:rsidRPr="00781311" w:rsidRDefault="00B557BD" w:rsidP="007A5E54">
      <w:pPr>
        <w:numPr>
          <w:ilvl w:val="0"/>
          <w:numId w:val="33"/>
        </w:numPr>
        <w:contextualSpacing/>
      </w:pPr>
      <w:r w:rsidRPr="00781311">
        <w:t>Matching contributions</w:t>
      </w:r>
      <w:r w:rsidR="0026359E">
        <w:t>;</w:t>
      </w:r>
      <w:r w:rsidR="00781311" w:rsidRPr="00781311">
        <w:t xml:space="preserve"> </w:t>
      </w:r>
      <w:r w:rsidRPr="00781311">
        <w:t>or</w:t>
      </w:r>
    </w:p>
    <w:p w14:paraId="50998D9B" w14:textId="77777777" w:rsidR="00B557BD" w:rsidRPr="00781311" w:rsidRDefault="00B557BD" w:rsidP="007A5E54">
      <w:pPr>
        <w:numPr>
          <w:ilvl w:val="0"/>
          <w:numId w:val="33"/>
        </w:numPr>
        <w:contextualSpacing/>
      </w:pPr>
      <w:r w:rsidRPr="00781311">
        <w:t>Nonelective contributions</w:t>
      </w:r>
      <w:r w:rsidR="0026359E">
        <w:t>.</w:t>
      </w:r>
    </w:p>
    <w:p w14:paraId="2DDA42CF" w14:textId="77777777" w:rsidR="001C76E3" w:rsidRDefault="001C76E3" w:rsidP="001C76E3">
      <w:pPr>
        <w:pStyle w:val="Heading3"/>
      </w:pPr>
      <w:bookmarkStart w:id="180" w:name="_Toc404357243"/>
      <w:r>
        <w:t>Matching Employer Contributions</w:t>
      </w:r>
      <w:bookmarkEnd w:id="180"/>
    </w:p>
    <w:p w14:paraId="2941CE53" w14:textId="77777777" w:rsidR="00B557BD" w:rsidRDefault="00887A0E" w:rsidP="00825E0B">
      <w:pPr>
        <w:rPr>
          <w:szCs w:val="22"/>
        </w:rPr>
      </w:pPr>
      <w:r>
        <w:rPr>
          <w:szCs w:val="22"/>
        </w:rPr>
        <w:t>If the employer elects to make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Pr>
          <w:szCs w:val="22"/>
        </w:rPr>
        <w:t xml:space="preserve"> in any year, rather than nonelective contributions, the employer need make contributions </w:t>
      </w:r>
      <w:r>
        <w:rPr>
          <w:i/>
          <w:szCs w:val="22"/>
        </w:rPr>
        <w:t>only</w:t>
      </w:r>
      <w:r>
        <w:rPr>
          <w:szCs w:val="22"/>
        </w:rPr>
        <w:t xml:space="preserve"> for those employees making elective contributions.</w:t>
      </w:r>
      <w:r w:rsidR="00297ACB">
        <w:rPr>
          <w:szCs w:val="22"/>
        </w:rPr>
        <w:t xml:space="preserve"> </w:t>
      </w:r>
      <w:r>
        <w:rPr>
          <w:szCs w:val="22"/>
        </w:rPr>
        <w:t>The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Pr>
          <w:szCs w:val="22"/>
        </w:rPr>
        <w:t xml:space="preserve"> must be at least equal to the lesser of:</w:t>
      </w:r>
    </w:p>
    <w:p w14:paraId="5C9518CC" w14:textId="77777777" w:rsidR="00887A0E" w:rsidRPr="00781311" w:rsidRDefault="00887A0E" w:rsidP="007A5E54">
      <w:pPr>
        <w:numPr>
          <w:ilvl w:val="0"/>
          <w:numId w:val="34"/>
        </w:numPr>
        <w:contextualSpacing/>
      </w:pPr>
      <w:r w:rsidRPr="00781311">
        <w:t>The amount of the employee’s salary reduction</w:t>
      </w:r>
      <w:r w:rsidR="0026359E">
        <w:t>;</w:t>
      </w:r>
      <w:r w:rsidR="00781311" w:rsidRPr="00781311">
        <w:t xml:space="preserve"> </w:t>
      </w:r>
      <w:r w:rsidRPr="00781311">
        <w:t>or</w:t>
      </w:r>
    </w:p>
    <w:p w14:paraId="5EE5315C" w14:textId="77777777" w:rsidR="00887A0E" w:rsidRPr="00781311" w:rsidRDefault="00887A0E" w:rsidP="007A5E54">
      <w:pPr>
        <w:numPr>
          <w:ilvl w:val="0"/>
          <w:numId w:val="34"/>
        </w:numPr>
      </w:pPr>
      <w:r w:rsidRPr="00781311">
        <w:t>The applicable percentage of compensation for the year</w:t>
      </w:r>
      <w:r w:rsidR="0026359E">
        <w:t>.</w:t>
      </w:r>
    </w:p>
    <w:p w14:paraId="19A37BCD" w14:textId="77777777" w:rsidR="00B274DF" w:rsidRPr="00B274DF" w:rsidRDefault="00B274DF" w:rsidP="00825E0B">
      <w:pPr>
        <w:rPr>
          <w:szCs w:val="22"/>
        </w:rPr>
      </w:pPr>
      <w:r>
        <w:rPr>
          <w:szCs w:val="22"/>
        </w:rPr>
        <w:lastRenderedPageBreak/>
        <w:t>The applicable percentage of compensation is 3 percent unless the employer elects to use a lower percentage of not less than 1 percent.</w:t>
      </w:r>
      <w:r w:rsidR="00297ACB">
        <w:rPr>
          <w:szCs w:val="22"/>
        </w:rPr>
        <w:t xml:space="preserve"> </w:t>
      </w:r>
      <w:r>
        <w:rPr>
          <w:szCs w:val="22"/>
        </w:rPr>
        <w:t>However, the employer may use a percentage less than 3 percent in no more than 2 years in the preceding 5-year period.</w:t>
      </w:r>
      <w:r w:rsidR="00297ACB">
        <w:rPr>
          <w:szCs w:val="22"/>
        </w:rPr>
        <w:t xml:space="preserve"> </w:t>
      </w:r>
      <w:r>
        <w:rPr>
          <w:szCs w:val="22"/>
        </w:rPr>
        <w:t xml:space="preserve">If the employer elects a percentage less than 3 percent, it must notify the employees of its election within a reasonable period of time </w:t>
      </w:r>
      <w:r>
        <w:rPr>
          <w:i/>
          <w:szCs w:val="22"/>
        </w:rPr>
        <w:t>before</w:t>
      </w:r>
      <w:r>
        <w:rPr>
          <w:szCs w:val="22"/>
        </w:rPr>
        <w:t xml:space="preserve"> the 60-day election period for electing to participate in the plan.</w:t>
      </w:r>
    </w:p>
    <w:p w14:paraId="2FD13819" w14:textId="77777777" w:rsidR="00B274DF" w:rsidRDefault="00B274DF" w:rsidP="00825E0B">
      <w:pPr>
        <w:rPr>
          <w:szCs w:val="22"/>
        </w:rPr>
      </w:pPr>
      <w:r>
        <w:rPr>
          <w:szCs w:val="22"/>
        </w:rPr>
        <w:t>For years prior to the installation of the SIMPLE IRA, or in any year in which the employer made nonelective contributions, the applicable percentage is deemed to have been 3 percent.</w:t>
      </w:r>
      <w:r w:rsidR="00297ACB">
        <w:rPr>
          <w:szCs w:val="22"/>
        </w:rPr>
        <w:t xml:space="preserve"> </w:t>
      </w:r>
      <w:r>
        <w:rPr>
          <w:szCs w:val="22"/>
        </w:rPr>
        <w:t>The maximum compensation limit of $</w:t>
      </w:r>
      <w:r w:rsidR="00D27BC3">
        <w:rPr>
          <w:szCs w:val="22"/>
        </w:rPr>
        <w:t>2</w:t>
      </w:r>
      <w:r w:rsidR="0016130A">
        <w:rPr>
          <w:szCs w:val="22"/>
        </w:rPr>
        <w:t>6</w:t>
      </w:r>
      <w:r w:rsidR="000C4717">
        <w:rPr>
          <w:szCs w:val="22"/>
        </w:rPr>
        <w:t>5</w:t>
      </w:r>
      <w:r>
        <w:rPr>
          <w:szCs w:val="22"/>
        </w:rPr>
        <w:t xml:space="preserve">,000 </w:t>
      </w:r>
      <w:r w:rsidR="00D545AE">
        <w:rPr>
          <w:szCs w:val="22"/>
        </w:rPr>
        <w:t>under IRC Section 401(a)(17)</w:t>
      </w:r>
      <w:r>
        <w:rPr>
          <w:szCs w:val="22"/>
        </w:rPr>
        <w:t xml:space="preserve"> </w:t>
      </w:r>
      <w:r w:rsidR="00D545AE">
        <w:rPr>
          <w:szCs w:val="22"/>
        </w:rPr>
        <w:t>does not apply to employer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sidR="00D545AE">
        <w:rPr>
          <w:szCs w:val="22"/>
        </w:rPr>
        <w:t>.</w:t>
      </w:r>
      <w:r w:rsidR="00297ACB">
        <w:rPr>
          <w:szCs w:val="22"/>
        </w:rPr>
        <w:t xml:space="preserve"> </w:t>
      </w:r>
      <w:r w:rsidR="00D545AE">
        <w:rPr>
          <w:szCs w:val="22"/>
        </w:rPr>
        <w:t xml:space="preserve">Therefore, the 3 </w:t>
      </w:r>
      <w:r w:rsidR="00D27BC3">
        <w:rPr>
          <w:szCs w:val="22"/>
        </w:rPr>
        <w:t>percent match could reach the $</w:t>
      </w:r>
      <w:r w:rsidR="00F264DD">
        <w:rPr>
          <w:szCs w:val="22"/>
        </w:rPr>
        <w:t>12,</w:t>
      </w:r>
      <w:r w:rsidR="000C4717">
        <w:rPr>
          <w:szCs w:val="22"/>
        </w:rPr>
        <w:t>5</w:t>
      </w:r>
      <w:r w:rsidR="00F264DD">
        <w:rPr>
          <w:szCs w:val="22"/>
        </w:rPr>
        <w:t>00</w:t>
      </w:r>
      <w:r w:rsidR="00D545AE">
        <w:rPr>
          <w:szCs w:val="22"/>
        </w:rPr>
        <w:t xml:space="preserve"> maximum for employees </w:t>
      </w:r>
      <w:r w:rsidR="00D27BC3">
        <w:rPr>
          <w:szCs w:val="22"/>
        </w:rPr>
        <w:t>with compensation of $</w:t>
      </w:r>
      <w:r w:rsidR="000C4717">
        <w:rPr>
          <w:szCs w:val="22"/>
        </w:rPr>
        <w:t>416,667</w:t>
      </w:r>
      <w:r w:rsidR="00D545AE">
        <w:rPr>
          <w:szCs w:val="22"/>
        </w:rPr>
        <w:t xml:space="preserve"> in the year</w:t>
      </w:r>
      <w:r w:rsidR="00F264DD">
        <w:rPr>
          <w:rStyle w:val="FootnoteReference"/>
          <w:szCs w:val="22"/>
        </w:rPr>
        <w:footnoteReference w:id="3"/>
      </w:r>
      <w:r w:rsidR="00D545AE">
        <w:rPr>
          <w:szCs w:val="22"/>
        </w:rPr>
        <w:t>.</w:t>
      </w:r>
    </w:p>
    <w:p w14:paraId="0861DBA5" w14:textId="77777777" w:rsidR="001C76E3" w:rsidRDefault="001C76E3" w:rsidP="001C76E3">
      <w:pPr>
        <w:pStyle w:val="Heading3"/>
      </w:pPr>
      <w:bookmarkStart w:id="181" w:name="_Toc404357244"/>
      <w:r>
        <w:t>Nonelective Employer Contributions</w:t>
      </w:r>
      <w:bookmarkEnd w:id="181"/>
    </w:p>
    <w:p w14:paraId="2D340423" w14:textId="77777777" w:rsidR="00D545AE" w:rsidRDefault="00D545AE" w:rsidP="00825E0B">
      <w:pPr>
        <w:rPr>
          <w:szCs w:val="22"/>
        </w:rPr>
      </w:pPr>
      <w:r>
        <w:rPr>
          <w:szCs w:val="22"/>
        </w:rPr>
        <w:t>In lieu of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Pr>
          <w:szCs w:val="22"/>
        </w:rPr>
        <w:t>, an employer may elect to make mandatory contributions under the nonelective contribution</w:t>
      </w:r>
      <w:r w:rsidR="00A95039">
        <w:rPr>
          <w:szCs w:val="22"/>
        </w:rPr>
        <w:fldChar w:fldCharType="begin"/>
      </w:r>
      <w:r w:rsidR="00500F1D">
        <w:instrText xml:space="preserve"> XE "</w:instrText>
      </w:r>
      <w:r w:rsidR="00500F1D" w:rsidRPr="00CD56BD">
        <w:rPr>
          <w:szCs w:val="22"/>
        </w:rPr>
        <w:instrText>SIMPLE employer nonelective contribution</w:instrText>
      </w:r>
      <w:r w:rsidR="00500F1D">
        <w:instrText xml:space="preserve">" </w:instrText>
      </w:r>
      <w:r w:rsidR="00A95039">
        <w:rPr>
          <w:szCs w:val="22"/>
        </w:rPr>
        <w:fldChar w:fldCharType="end"/>
      </w:r>
      <w:r>
        <w:rPr>
          <w:szCs w:val="22"/>
        </w:rPr>
        <w:t xml:space="preserve"> formula.</w:t>
      </w:r>
      <w:r w:rsidR="00297ACB">
        <w:rPr>
          <w:szCs w:val="22"/>
        </w:rPr>
        <w:t xml:space="preserve"> </w:t>
      </w:r>
      <w:r>
        <w:rPr>
          <w:szCs w:val="22"/>
        </w:rPr>
        <w:t xml:space="preserve">If the employer makes such an election, it must make a contribution for every eligible employee, </w:t>
      </w:r>
      <w:r>
        <w:rPr>
          <w:i/>
          <w:szCs w:val="22"/>
        </w:rPr>
        <w:t>whether or not the employee made an elective contribution</w:t>
      </w:r>
      <w:r>
        <w:rPr>
          <w:szCs w:val="22"/>
        </w:rPr>
        <w:t>.</w:t>
      </w:r>
      <w:r w:rsidR="00297ACB">
        <w:rPr>
          <w:szCs w:val="22"/>
        </w:rPr>
        <w:t xml:space="preserve"> </w:t>
      </w:r>
      <w:r>
        <w:rPr>
          <w:szCs w:val="22"/>
        </w:rPr>
        <w:t>The employer is required to make a contribution equal to 2 percent of the employee’s compensation.</w:t>
      </w:r>
      <w:r w:rsidR="00297ACB">
        <w:rPr>
          <w:szCs w:val="22"/>
        </w:rPr>
        <w:t xml:space="preserve"> </w:t>
      </w:r>
      <w:r>
        <w:rPr>
          <w:szCs w:val="22"/>
        </w:rPr>
        <w:t xml:space="preserve">Since the </w:t>
      </w:r>
      <w:r w:rsidR="00D27BC3">
        <w:rPr>
          <w:szCs w:val="22"/>
        </w:rPr>
        <w:t>compensation limit of $2</w:t>
      </w:r>
      <w:r w:rsidR="0016130A">
        <w:rPr>
          <w:szCs w:val="22"/>
        </w:rPr>
        <w:t>6</w:t>
      </w:r>
      <w:r w:rsidR="000C4717">
        <w:rPr>
          <w:szCs w:val="22"/>
        </w:rPr>
        <w:t>5</w:t>
      </w:r>
      <w:r w:rsidR="005F7137">
        <w:rPr>
          <w:szCs w:val="22"/>
        </w:rPr>
        <w:t xml:space="preserve">,000 under IRC Section 401(a)(17) </w:t>
      </w:r>
      <w:r w:rsidR="005F7137">
        <w:rPr>
          <w:i/>
          <w:szCs w:val="22"/>
        </w:rPr>
        <w:t>does</w:t>
      </w:r>
      <w:r w:rsidR="005F7137">
        <w:rPr>
          <w:szCs w:val="22"/>
        </w:rPr>
        <w:t xml:space="preserve"> apply to employer nonelective contributions, the maximum amount of nonelective contribution</w:t>
      </w:r>
      <w:r w:rsidR="00A95039">
        <w:rPr>
          <w:szCs w:val="22"/>
        </w:rPr>
        <w:fldChar w:fldCharType="begin"/>
      </w:r>
      <w:r w:rsidR="00500F1D">
        <w:instrText xml:space="preserve"> XE "</w:instrText>
      </w:r>
      <w:r w:rsidR="00500F1D" w:rsidRPr="00CD56BD">
        <w:rPr>
          <w:szCs w:val="22"/>
        </w:rPr>
        <w:instrText>SIMPLE employer nonelective contribution</w:instrText>
      </w:r>
      <w:r w:rsidR="00500F1D">
        <w:instrText xml:space="preserve">" </w:instrText>
      </w:r>
      <w:r w:rsidR="00A95039">
        <w:rPr>
          <w:szCs w:val="22"/>
        </w:rPr>
        <w:fldChar w:fldCharType="end"/>
      </w:r>
      <w:r w:rsidR="005F7137">
        <w:rPr>
          <w:szCs w:val="22"/>
        </w:rPr>
        <w:t xml:space="preserve"> tha</w:t>
      </w:r>
      <w:r w:rsidR="00D27BC3">
        <w:rPr>
          <w:szCs w:val="22"/>
        </w:rPr>
        <w:t xml:space="preserve">t an employer may make in </w:t>
      </w:r>
      <w:r w:rsidR="00BE17CF">
        <w:rPr>
          <w:szCs w:val="22"/>
        </w:rPr>
        <w:t>20</w:t>
      </w:r>
      <w:r w:rsidR="001C76E3">
        <w:rPr>
          <w:szCs w:val="22"/>
        </w:rPr>
        <w:t>1</w:t>
      </w:r>
      <w:r w:rsidR="00D44E06">
        <w:rPr>
          <w:szCs w:val="22"/>
        </w:rPr>
        <w:t>5</w:t>
      </w:r>
      <w:r w:rsidR="00D27BC3">
        <w:rPr>
          <w:szCs w:val="22"/>
        </w:rPr>
        <w:t xml:space="preserve"> is $</w:t>
      </w:r>
      <w:r w:rsidR="0026359E">
        <w:rPr>
          <w:szCs w:val="22"/>
        </w:rPr>
        <w:t>5,</w:t>
      </w:r>
      <w:r w:rsidR="00D44E06">
        <w:rPr>
          <w:szCs w:val="22"/>
        </w:rPr>
        <w:t>3</w:t>
      </w:r>
      <w:r w:rsidR="0026359E">
        <w:rPr>
          <w:szCs w:val="22"/>
        </w:rPr>
        <w:t>00</w:t>
      </w:r>
      <w:r w:rsidR="005F7137">
        <w:rPr>
          <w:szCs w:val="22"/>
        </w:rPr>
        <w:t>.</w:t>
      </w:r>
      <w:r w:rsidR="00297ACB">
        <w:rPr>
          <w:szCs w:val="22"/>
        </w:rPr>
        <w:t xml:space="preserve"> </w:t>
      </w:r>
      <w:r w:rsidR="00D27BC3">
        <w:rPr>
          <w:szCs w:val="22"/>
        </w:rPr>
        <w:t>($2</w:t>
      </w:r>
      <w:r w:rsidR="0016130A">
        <w:rPr>
          <w:szCs w:val="22"/>
        </w:rPr>
        <w:t>6</w:t>
      </w:r>
      <w:r w:rsidR="00D44E06">
        <w:rPr>
          <w:szCs w:val="22"/>
        </w:rPr>
        <w:t>5</w:t>
      </w:r>
      <w:r w:rsidR="00D27BC3">
        <w:rPr>
          <w:szCs w:val="22"/>
        </w:rPr>
        <w:t>,000 x .02 = $</w:t>
      </w:r>
      <w:r w:rsidR="0026359E">
        <w:rPr>
          <w:szCs w:val="22"/>
        </w:rPr>
        <w:t>5,</w:t>
      </w:r>
      <w:r w:rsidR="00D44E06">
        <w:rPr>
          <w:szCs w:val="22"/>
        </w:rPr>
        <w:t>3</w:t>
      </w:r>
      <w:r w:rsidR="0026359E">
        <w:rPr>
          <w:szCs w:val="22"/>
        </w:rPr>
        <w:t>00</w:t>
      </w:r>
      <w:r w:rsidR="005F7137">
        <w:rPr>
          <w:szCs w:val="22"/>
        </w:rPr>
        <w:t>)</w:t>
      </w:r>
      <w:r w:rsidR="00297ACB">
        <w:rPr>
          <w:szCs w:val="22"/>
        </w:rPr>
        <w:t xml:space="preserve"> </w:t>
      </w:r>
      <w:r w:rsidR="005F7137">
        <w:rPr>
          <w:szCs w:val="22"/>
        </w:rPr>
        <w:t>If the employer elects to make nonelective contributions in any year, it must notify the employees within a reasonable time before the 60-day employee election period.</w:t>
      </w:r>
    </w:p>
    <w:p w14:paraId="3F8F7939" w14:textId="77777777" w:rsidR="005F7137" w:rsidRDefault="00793B22" w:rsidP="00825E0B">
      <w:pPr>
        <w:rPr>
          <w:szCs w:val="22"/>
        </w:rPr>
      </w:pPr>
      <w:r>
        <w:rPr>
          <w:szCs w:val="22"/>
        </w:rPr>
        <w:t>The employer’s matching and nonelective contributions may be made up to the employer’s tax filing date, including any extensions.</w:t>
      </w:r>
      <w:r w:rsidR="00297ACB">
        <w:rPr>
          <w:szCs w:val="22"/>
        </w:rPr>
        <w:t xml:space="preserve"> </w:t>
      </w:r>
      <w:r>
        <w:rPr>
          <w:szCs w:val="22"/>
        </w:rPr>
        <w:t>The employee has an immediate nonforfeitable right to any elective contributions, employer contributions and any earnings in his or her account.</w:t>
      </w:r>
      <w:r w:rsidR="00297ACB">
        <w:rPr>
          <w:szCs w:val="22"/>
        </w:rPr>
        <w:t xml:space="preserve"> </w:t>
      </w:r>
      <w:r w:rsidR="00CE0DE9">
        <w:rPr>
          <w:szCs w:val="22"/>
        </w:rPr>
        <w:t>Contributions may be allocated to a wide range of investments, but—as in other IRAs—they may not be invested in life insurance contracts or certain collectibles.</w:t>
      </w:r>
      <w:r w:rsidR="00297ACB">
        <w:rPr>
          <w:szCs w:val="22"/>
        </w:rPr>
        <w:t xml:space="preserve"> </w:t>
      </w:r>
      <w:r w:rsidR="00CE0DE9">
        <w:rPr>
          <w:szCs w:val="22"/>
        </w:rPr>
        <w:t>Regardless of how invested, SIMPLE IRA contributions and earnings are tax-deferred until distributed.</w:t>
      </w:r>
    </w:p>
    <w:p w14:paraId="7E2A569F" w14:textId="77777777" w:rsidR="00A465FA" w:rsidRDefault="00A465FA" w:rsidP="00A465FA">
      <w:pPr>
        <w:pStyle w:val="Heading4"/>
      </w:pPr>
      <w:bookmarkStart w:id="182" w:name="_Toc404357245"/>
      <w:r>
        <w:t>Nonrefundable Tax Credit for Lower Income Employees</w:t>
      </w:r>
      <w:bookmarkEnd w:id="182"/>
    </w:p>
    <w:p w14:paraId="394A0693" w14:textId="77777777" w:rsidR="00CE0DE9" w:rsidRDefault="00CE0DE9" w:rsidP="00825E0B">
      <w:pPr>
        <w:rPr>
          <w:szCs w:val="22"/>
        </w:rPr>
      </w:pPr>
      <w:r>
        <w:rPr>
          <w:szCs w:val="22"/>
        </w:rPr>
        <w:t>EGTRRA authorized an additional tax incentive to make an elective contribution to a SIMPLE IRA for some lower-income employees.</w:t>
      </w:r>
      <w:r w:rsidR="00297ACB">
        <w:rPr>
          <w:szCs w:val="22"/>
        </w:rPr>
        <w:t xml:space="preserve"> </w:t>
      </w:r>
      <w:r>
        <w:rPr>
          <w:szCs w:val="22"/>
        </w:rPr>
        <w:t>SIMPLE IRA elective contributions by employees who meet certain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criteria</w:t>
      </w:r>
      <w:r w:rsidRPr="00E35A99">
        <w:rPr>
          <w:szCs w:val="22"/>
        </w:rPr>
        <w:t xml:space="preserve"> </w:t>
      </w:r>
      <w:r>
        <w:rPr>
          <w:szCs w:val="22"/>
        </w:rPr>
        <w:t xml:space="preserve">result in a tax credit </w:t>
      </w:r>
      <w:r>
        <w:rPr>
          <w:i/>
          <w:szCs w:val="22"/>
        </w:rPr>
        <w:t>in addition to</w:t>
      </w:r>
      <w:r>
        <w:rPr>
          <w:szCs w:val="22"/>
        </w:rPr>
        <w:t xml:space="preserve"> any other tax advantages.</w:t>
      </w:r>
    </w:p>
    <w:p w14:paraId="67EB1622" w14:textId="77777777" w:rsidR="00CE0DE9" w:rsidRDefault="00CE0DE9" w:rsidP="00825E0B">
      <w:pPr>
        <w:rPr>
          <w:szCs w:val="22"/>
        </w:rPr>
      </w:pPr>
      <w:r>
        <w:rPr>
          <w:szCs w:val="22"/>
        </w:rPr>
        <w:t xml:space="preserve">The tax credit is a </w:t>
      </w:r>
      <w:r>
        <w:rPr>
          <w:i/>
          <w:szCs w:val="22"/>
        </w:rPr>
        <w:t>nonrefundable</w:t>
      </w:r>
      <w:r>
        <w:rPr>
          <w:szCs w:val="22"/>
        </w:rPr>
        <w:t xml:space="preserve"> credit that is limited to the applicable percentage of elective contributions up to $2,000.</w:t>
      </w:r>
      <w:r w:rsidR="00297ACB">
        <w:rPr>
          <w:szCs w:val="22"/>
        </w:rPr>
        <w:t xml:space="preserve"> </w:t>
      </w:r>
      <w:r>
        <w:rPr>
          <w:szCs w:val="22"/>
        </w:rPr>
        <w:t>A nonrefundable tax credit</w:t>
      </w:r>
      <w:r w:rsidR="00A95039">
        <w:rPr>
          <w:szCs w:val="22"/>
        </w:rPr>
        <w:fldChar w:fldCharType="begin"/>
      </w:r>
      <w:r w:rsidR="00293611">
        <w:instrText xml:space="preserve"> XE "</w:instrText>
      </w:r>
      <w:r w:rsidR="00293611" w:rsidRPr="00CD56BD">
        <w:rPr>
          <w:szCs w:val="22"/>
        </w:rPr>
        <w:instrText>nonrefundable tax credit</w:instrText>
      </w:r>
      <w:r w:rsidR="00293611">
        <w:instrText xml:space="preserve">" </w:instrText>
      </w:r>
      <w:r w:rsidR="00A95039">
        <w:rPr>
          <w:szCs w:val="22"/>
        </w:rPr>
        <w:fldChar w:fldCharType="end"/>
      </w:r>
      <w:r>
        <w:rPr>
          <w:szCs w:val="22"/>
        </w:rPr>
        <w:t xml:space="preserve"> is a tax credit that is limited by the employee’s tax liability and acts to reduce the amount of federal income tax payable.</w:t>
      </w:r>
      <w:r w:rsidR="00297ACB">
        <w:rPr>
          <w:szCs w:val="22"/>
        </w:rPr>
        <w:t xml:space="preserve"> </w:t>
      </w:r>
      <w:r>
        <w:rPr>
          <w:szCs w:val="22"/>
        </w:rPr>
        <w:t>If an individual has no income tax liability, or has an income tax liability that is less than the tax credit, a nonrefundable tax credit will not result in a payment from the federal government.</w:t>
      </w:r>
    </w:p>
    <w:p w14:paraId="40BD034C" w14:textId="77777777" w:rsidR="00CE0DE9" w:rsidRDefault="00CE0DE9" w:rsidP="00A465FA">
      <w:pPr>
        <w:spacing w:before="120"/>
        <w:rPr>
          <w:szCs w:val="22"/>
        </w:rPr>
      </w:pPr>
      <w:r>
        <w:rPr>
          <w:szCs w:val="22"/>
        </w:rPr>
        <w:t xml:space="preserve">The percentage of the elective contribution (up to </w:t>
      </w:r>
      <w:r w:rsidR="00632081">
        <w:rPr>
          <w:szCs w:val="22"/>
        </w:rPr>
        <w:t xml:space="preserve">a </w:t>
      </w:r>
      <w:r w:rsidR="00632081">
        <w:rPr>
          <w:i/>
          <w:szCs w:val="22"/>
        </w:rPr>
        <w:t xml:space="preserve">contribution </w:t>
      </w:r>
      <w:r w:rsidR="00632081">
        <w:rPr>
          <w:szCs w:val="22"/>
        </w:rPr>
        <w:t xml:space="preserve">of </w:t>
      </w:r>
      <w:r>
        <w:rPr>
          <w:szCs w:val="22"/>
        </w:rPr>
        <w:t>$2,000 per individual) that is available as a tax credit depends upon the employee’s adjusted gross income</w:t>
      </w:r>
      <w:r w:rsidR="00A95039">
        <w:rPr>
          <w:szCs w:val="22"/>
        </w:rPr>
        <w:fldChar w:fldCharType="begin"/>
      </w:r>
      <w:r w:rsidR="00293611">
        <w:instrText xml:space="preserve"> XE "</w:instrText>
      </w:r>
      <w:r w:rsidR="00293611" w:rsidRPr="00CD56BD">
        <w:rPr>
          <w:szCs w:val="22"/>
        </w:rPr>
        <w:instrText>adjusted gross income</w:instrText>
      </w:r>
      <w:r w:rsidR="00293611">
        <w:instrText xml:space="preserve">" </w:instrText>
      </w:r>
      <w:r w:rsidR="00A95039">
        <w:rPr>
          <w:szCs w:val="22"/>
        </w:rPr>
        <w:fldChar w:fldCharType="end"/>
      </w:r>
      <w:r>
        <w:rPr>
          <w:szCs w:val="22"/>
        </w:rPr>
        <w:t xml:space="preserve"> and his or her tax filing status.</w:t>
      </w:r>
      <w:r w:rsidR="00297ACB">
        <w:rPr>
          <w:szCs w:val="22"/>
        </w:rPr>
        <w:t xml:space="preserve"> </w:t>
      </w:r>
      <w:r>
        <w:rPr>
          <w:szCs w:val="22"/>
        </w:rPr>
        <w:t>The applicable percentages are as shown in the chart below:</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3"/>
        <w:gridCol w:w="990"/>
        <w:gridCol w:w="1430"/>
        <w:gridCol w:w="1430"/>
        <w:gridCol w:w="1044"/>
        <w:gridCol w:w="1210"/>
        <w:gridCol w:w="1407"/>
      </w:tblGrid>
      <w:tr w:rsidR="00BE17CF" w:rsidRPr="006D389B" w14:paraId="2933CA78" w14:textId="77777777" w:rsidTr="006D389B">
        <w:trPr>
          <w:trHeight w:val="357"/>
          <w:jc w:val="center"/>
        </w:trPr>
        <w:tc>
          <w:tcPr>
            <w:tcW w:w="8774" w:type="dxa"/>
            <w:gridSpan w:val="7"/>
            <w:tcBorders>
              <w:top w:val="single" w:sz="12" w:space="0" w:color="auto"/>
              <w:left w:val="single" w:sz="12" w:space="0" w:color="auto"/>
              <w:bottom w:val="single" w:sz="12" w:space="0" w:color="auto"/>
              <w:right w:val="single" w:sz="12" w:space="0" w:color="auto"/>
              <w:tl2br w:val="nil"/>
              <w:tr2bl w:val="nil"/>
            </w:tcBorders>
            <w:shd w:val="clear" w:color="auto" w:fill="E3F4FF"/>
          </w:tcPr>
          <w:p w14:paraId="2E34587F" w14:textId="77777777" w:rsidR="00BE17CF" w:rsidRPr="006D389B" w:rsidRDefault="009E4FCF" w:rsidP="0049046B">
            <w:pPr>
              <w:pStyle w:val="WTableHeaderChar"/>
              <w:spacing w:before="0" w:after="0"/>
              <w:rPr>
                <w:szCs w:val="22"/>
              </w:rPr>
            </w:pPr>
            <w:r>
              <w:rPr>
                <w:b w:val="0"/>
              </w:rPr>
              <w:lastRenderedPageBreak/>
              <w:br w:type="page"/>
            </w:r>
            <w:r w:rsidR="00BE17CF" w:rsidRPr="00252943">
              <w:t>Adjusted Gross Income</w:t>
            </w:r>
          </w:p>
        </w:tc>
      </w:tr>
      <w:tr w:rsidR="00BE17CF" w:rsidRPr="00252943" w14:paraId="2DAC3FD1" w14:textId="77777777" w:rsidTr="006D389B">
        <w:trPr>
          <w:trHeight w:val="240"/>
          <w:jc w:val="center"/>
        </w:trPr>
        <w:tc>
          <w:tcPr>
            <w:tcW w:w="2253" w:type="dxa"/>
            <w:gridSpan w:val="2"/>
            <w:tcBorders>
              <w:bottom w:val="single" w:sz="6" w:space="0" w:color="auto"/>
              <w:right w:val="single" w:sz="6" w:space="0" w:color="auto"/>
            </w:tcBorders>
          </w:tcPr>
          <w:p w14:paraId="42EB1843" w14:textId="77777777" w:rsidR="00BE17CF" w:rsidRPr="0049046B" w:rsidRDefault="00BE17CF" w:rsidP="006D1C7A">
            <w:pPr>
              <w:pStyle w:val="wTableSections"/>
              <w:rPr>
                <w:sz w:val="18"/>
                <w:szCs w:val="18"/>
              </w:rPr>
            </w:pPr>
            <w:r w:rsidRPr="0049046B">
              <w:rPr>
                <w:sz w:val="18"/>
                <w:szCs w:val="18"/>
              </w:rPr>
              <w:t>Joint Return</w:t>
            </w:r>
          </w:p>
        </w:tc>
        <w:tc>
          <w:tcPr>
            <w:tcW w:w="2860" w:type="dxa"/>
            <w:gridSpan w:val="2"/>
            <w:tcBorders>
              <w:left w:val="single" w:sz="6" w:space="0" w:color="auto"/>
              <w:bottom w:val="single" w:sz="6" w:space="0" w:color="auto"/>
              <w:right w:val="single" w:sz="6" w:space="0" w:color="auto"/>
            </w:tcBorders>
          </w:tcPr>
          <w:p w14:paraId="500EA4CC" w14:textId="77777777" w:rsidR="00BE17CF" w:rsidRPr="0049046B" w:rsidRDefault="00BE17CF" w:rsidP="0049046B">
            <w:pPr>
              <w:pStyle w:val="wTableSections"/>
              <w:rPr>
                <w:sz w:val="18"/>
                <w:szCs w:val="18"/>
              </w:rPr>
            </w:pPr>
            <w:r w:rsidRPr="0049046B">
              <w:rPr>
                <w:sz w:val="18"/>
                <w:szCs w:val="18"/>
              </w:rPr>
              <w:t>Head of Household Return</w:t>
            </w:r>
          </w:p>
        </w:tc>
        <w:tc>
          <w:tcPr>
            <w:tcW w:w="2254" w:type="dxa"/>
            <w:gridSpan w:val="2"/>
            <w:tcBorders>
              <w:left w:val="single" w:sz="6" w:space="0" w:color="auto"/>
              <w:bottom w:val="single" w:sz="6" w:space="0" w:color="auto"/>
              <w:right w:val="single" w:sz="6" w:space="0" w:color="auto"/>
            </w:tcBorders>
          </w:tcPr>
          <w:p w14:paraId="5CD4F382" w14:textId="77777777" w:rsidR="00BE17CF" w:rsidRPr="0049046B" w:rsidRDefault="00BE17CF" w:rsidP="006D1C7A">
            <w:pPr>
              <w:pStyle w:val="wTableSections"/>
              <w:rPr>
                <w:sz w:val="18"/>
                <w:szCs w:val="18"/>
              </w:rPr>
            </w:pPr>
            <w:r w:rsidRPr="0049046B">
              <w:rPr>
                <w:sz w:val="18"/>
                <w:szCs w:val="18"/>
              </w:rPr>
              <w:t>All Other Status</w:t>
            </w:r>
          </w:p>
        </w:tc>
        <w:tc>
          <w:tcPr>
            <w:tcW w:w="1407" w:type="dxa"/>
            <w:tcBorders>
              <w:left w:val="single" w:sz="6" w:space="0" w:color="auto"/>
              <w:bottom w:val="single" w:sz="6" w:space="0" w:color="auto"/>
            </w:tcBorders>
          </w:tcPr>
          <w:p w14:paraId="708EB46A" w14:textId="77777777" w:rsidR="00BE17CF" w:rsidRPr="0049046B" w:rsidRDefault="00BE17CF" w:rsidP="006D1C7A">
            <w:pPr>
              <w:pStyle w:val="wTableSections"/>
              <w:rPr>
                <w:sz w:val="18"/>
                <w:szCs w:val="18"/>
              </w:rPr>
            </w:pPr>
            <w:r w:rsidRPr="0049046B">
              <w:rPr>
                <w:sz w:val="18"/>
                <w:szCs w:val="18"/>
              </w:rPr>
              <w:t>Applicable</w:t>
            </w:r>
          </w:p>
        </w:tc>
      </w:tr>
      <w:tr w:rsidR="00BE17CF" w:rsidRPr="006753CA" w14:paraId="2C05A43A" w14:textId="77777777" w:rsidTr="006D389B">
        <w:trPr>
          <w:jc w:val="center"/>
        </w:trPr>
        <w:tc>
          <w:tcPr>
            <w:tcW w:w="1263" w:type="dxa"/>
            <w:tcBorders>
              <w:top w:val="single" w:sz="6" w:space="0" w:color="auto"/>
              <w:bottom w:val="single" w:sz="6" w:space="0" w:color="auto"/>
              <w:right w:val="single" w:sz="6" w:space="0" w:color="auto"/>
            </w:tcBorders>
          </w:tcPr>
          <w:p w14:paraId="441911C3" w14:textId="77777777" w:rsidR="00BE17CF" w:rsidRPr="0049046B" w:rsidRDefault="00BE17CF" w:rsidP="006D389B">
            <w:pPr>
              <w:pStyle w:val="wTableNormal"/>
              <w:jc w:val="center"/>
              <w:rPr>
                <w:sz w:val="18"/>
                <w:szCs w:val="18"/>
              </w:rPr>
            </w:pPr>
            <w:r w:rsidRPr="0049046B">
              <w:rPr>
                <w:sz w:val="18"/>
                <w:szCs w:val="18"/>
              </w:rPr>
              <w:t>Over</w:t>
            </w:r>
          </w:p>
        </w:tc>
        <w:tc>
          <w:tcPr>
            <w:tcW w:w="990" w:type="dxa"/>
            <w:tcBorders>
              <w:top w:val="single" w:sz="6" w:space="0" w:color="auto"/>
              <w:left w:val="single" w:sz="6" w:space="0" w:color="auto"/>
              <w:bottom w:val="single" w:sz="6" w:space="0" w:color="auto"/>
              <w:right w:val="single" w:sz="6" w:space="0" w:color="auto"/>
            </w:tcBorders>
          </w:tcPr>
          <w:p w14:paraId="10CB41B5" w14:textId="77777777" w:rsidR="00BE17CF" w:rsidRPr="0049046B" w:rsidRDefault="00BE17CF" w:rsidP="006D389B">
            <w:pPr>
              <w:pStyle w:val="wTableNormal"/>
              <w:jc w:val="center"/>
              <w:rPr>
                <w:sz w:val="18"/>
                <w:szCs w:val="18"/>
              </w:rPr>
            </w:pPr>
            <w:r w:rsidRPr="0049046B">
              <w:rPr>
                <w:sz w:val="18"/>
                <w:szCs w:val="18"/>
              </w:rPr>
              <w:t>Not over</w:t>
            </w:r>
          </w:p>
        </w:tc>
        <w:tc>
          <w:tcPr>
            <w:tcW w:w="1430" w:type="dxa"/>
            <w:tcBorders>
              <w:top w:val="single" w:sz="6" w:space="0" w:color="auto"/>
              <w:left w:val="single" w:sz="6" w:space="0" w:color="auto"/>
              <w:bottom w:val="single" w:sz="6" w:space="0" w:color="auto"/>
              <w:right w:val="single" w:sz="6" w:space="0" w:color="auto"/>
            </w:tcBorders>
          </w:tcPr>
          <w:p w14:paraId="60A46464" w14:textId="77777777" w:rsidR="00BE17CF" w:rsidRPr="0049046B" w:rsidRDefault="00BE17CF" w:rsidP="006D389B">
            <w:pPr>
              <w:pStyle w:val="wTableNormal"/>
              <w:jc w:val="center"/>
              <w:rPr>
                <w:sz w:val="18"/>
                <w:szCs w:val="18"/>
              </w:rPr>
            </w:pPr>
            <w:r w:rsidRPr="0049046B">
              <w:rPr>
                <w:sz w:val="18"/>
                <w:szCs w:val="18"/>
              </w:rPr>
              <w:t>Over</w:t>
            </w:r>
          </w:p>
        </w:tc>
        <w:tc>
          <w:tcPr>
            <w:tcW w:w="1430" w:type="dxa"/>
            <w:tcBorders>
              <w:top w:val="single" w:sz="6" w:space="0" w:color="auto"/>
              <w:left w:val="single" w:sz="6" w:space="0" w:color="auto"/>
              <w:bottom w:val="single" w:sz="6" w:space="0" w:color="auto"/>
              <w:right w:val="single" w:sz="6" w:space="0" w:color="auto"/>
            </w:tcBorders>
          </w:tcPr>
          <w:p w14:paraId="1DAC2D8B" w14:textId="77777777" w:rsidR="00BE17CF" w:rsidRPr="0049046B" w:rsidRDefault="00BE17CF" w:rsidP="006D389B">
            <w:pPr>
              <w:pStyle w:val="wTableNormal"/>
              <w:jc w:val="center"/>
              <w:rPr>
                <w:sz w:val="18"/>
                <w:szCs w:val="18"/>
              </w:rPr>
            </w:pPr>
            <w:r w:rsidRPr="0049046B">
              <w:rPr>
                <w:sz w:val="18"/>
                <w:szCs w:val="18"/>
              </w:rPr>
              <w:t>Not over</w:t>
            </w:r>
          </w:p>
        </w:tc>
        <w:tc>
          <w:tcPr>
            <w:tcW w:w="1044" w:type="dxa"/>
            <w:tcBorders>
              <w:top w:val="single" w:sz="6" w:space="0" w:color="auto"/>
              <w:left w:val="single" w:sz="6" w:space="0" w:color="auto"/>
              <w:bottom w:val="single" w:sz="6" w:space="0" w:color="auto"/>
              <w:right w:val="single" w:sz="6" w:space="0" w:color="auto"/>
            </w:tcBorders>
          </w:tcPr>
          <w:p w14:paraId="715BDF78" w14:textId="77777777" w:rsidR="00BE17CF" w:rsidRPr="0049046B" w:rsidRDefault="00BE17CF" w:rsidP="006D389B">
            <w:pPr>
              <w:pStyle w:val="wTableNormal"/>
              <w:jc w:val="center"/>
              <w:rPr>
                <w:sz w:val="18"/>
                <w:szCs w:val="18"/>
              </w:rPr>
            </w:pPr>
            <w:r w:rsidRPr="0049046B">
              <w:rPr>
                <w:sz w:val="18"/>
                <w:szCs w:val="18"/>
              </w:rPr>
              <w:t>Over</w:t>
            </w:r>
          </w:p>
        </w:tc>
        <w:tc>
          <w:tcPr>
            <w:tcW w:w="1210" w:type="dxa"/>
            <w:tcBorders>
              <w:top w:val="single" w:sz="6" w:space="0" w:color="auto"/>
              <w:left w:val="single" w:sz="6" w:space="0" w:color="auto"/>
              <w:bottom w:val="single" w:sz="6" w:space="0" w:color="auto"/>
              <w:right w:val="single" w:sz="6" w:space="0" w:color="auto"/>
            </w:tcBorders>
          </w:tcPr>
          <w:p w14:paraId="6C9904B7" w14:textId="77777777" w:rsidR="00BE17CF" w:rsidRPr="0049046B" w:rsidRDefault="00BE17CF" w:rsidP="006D389B">
            <w:pPr>
              <w:pStyle w:val="wTableNormal"/>
              <w:jc w:val="center"/>
              <w:rPr>
                <w:sz w:val="18"/>
                <w:szCs w:val="18"/>
              </w:rPr>
            </w:pPr>
            <w:r w:rsidRPr="0049046B">
              <w:rPr>
                <w:sz w:val="18"/>
                <w:szCs w:val="18"/>
              </w:rPr>
              <w:t>Not over</w:t>
            </w:r>
          </w:p>
        </w:tc>
        <w:tc>
          <w:tcPr>
            <w:tcW w:w="1407" w:type="dxa"/>
            <w:tcBorders>
              <w:top w:val="single" w:sz="6" w:space="0" w:color="auto"/>
              <w:left w:val="single" w:sz="6" w:space="0" w:color="auto"/>
              <w:bottom w:val="single" w:sz="6" w:space="0" w:color="auto"/>
            </w:tcBorders>
          </w:tcPr>
          <w:p w14:paraId="4556BFB7" w14:textId="77777777" w:rsidR="00BE17CF" w:rsidRPr="0049046B" w:rsidRDefault="00BE17CF" w:rsidP="006D389B">
            <w:pPr>
              <w:pStyle w:val="wTableNormal"/>
              <w:jc w:val="center"/>
              <w:rPr>
                <w:sz w:val="18"/>
                <w:szCs w:val="18"/>
              </w:rPr>
            </w:pPr>
            <w:r w:rsidRPr="0049046B">
              <w:rPr>
                <w:sz w:val="18"/>
                <w:szCs w:val="18"/>
              </w:rPr>
              <w:t>Percentage</w:t>
            </w:r>
          </w:p>
        </w:tc>
      </w:tr>
      <w:tr w:rsidR="00D44E06" w:rsidRPr="006753CA" w14:paraId="7FB2A9A5" w14:textId="77777777" w:rsidTr="00837F7D">
        <w:trPr>
          <w:jc w:val="center"/>
        </w:trPr>
        <w:tc>
          <w:tcPr>
            <w:tcW w:w="1263" w:type="dxa"/>
            <w:tcBorders>
              <w:top w:val="single" w:sz="6" w:space="0" w:color="auto"/>
              <w:bottom w:val="single" w:sz="6" w:space="0" w:color="auto"/>
              <w:right w:val="single" w:sz="6" w:space="0" w:color="auto"/>
            </w:tcBorders>
          </w:tcPr>
          <w:p w14:paraId="6F7A0941" w14:textId="77777777" w:rsidR="00D44E06" w:rsidRPr="007B0176" w:rsidRDefault="00D44E06" w:rsidP="008C6174">
            <w:pPr>
              <w:pStyle w:val="wTableNormal"/>
              <w:jc w:val="center"/>
              <w:rPr>
                <w:sz w:val="18"/>
                <w:szCs w:val="18"/>
              </w:rPr>
            </w:pPr>
            <w:r>
              <w:rPr>
                <w:szCs w:val="22"/>
              </w:rPr>
              <w:t>$0</w:t>
            </w:r>
          </w:p>
        </w:tc>
        <w:tc>
          <w:tcPr>
            <w:tcW w:w="990" w:type="dxa"/>
            <w:tcBorders>
              <w:top w:val="single" w:sz="6" w:space="0" w:color="auto"/>
              <w:left w:val="single" w:sz="6" w:space="0" w:color="auto"/>
              <w:bottom w:val="single" w:sz="6" w:space="0" w:color="auto"/>
              <w:right w:val="single" w:sz="6" w:space="0" w:color="auto"/>
            </w:tcBorders>
          </w:tcPr>
          <w:p w14:paraId="37C1E7B1" w14:textId="77777777" w:rsidR="00D44E06" w:rsidRPr="007B0176" w:rsidRDefault="00D44E06" w:rsidP="008C6174">
            <w:pPr>
              <w:pStyle w:val="wTableNormal"/>
              <w:jc w:val="center"/>
              <w:rPr>
                <w:sz w:val="18"/>
                <w:szCs w:val="18"/>
              </w:rPr>
            </w:pPr>
            <w:r>
              <w:rPr>
                <w:szCs w:val="22"/>
              </w:rPr>
              <w:t>$36,500</w:t>
            </w:r>
          </w:p>
        </w:tc>
        <w:tc>
          <w:tcPr>
            <w:tcW w:w="1430" w:type="dxa"/>
            <w:tcBorders>
              <w:top w:val="single" w:sz="6" w:space="0" w:color="auto"/>
              <w:left w:val="single" w:sz="6" w:space="0" w:color="auto"/>
              <w:bottom w:val="single" w:sz="6" w:space="0" w:color="auto"/>
              <w:right w:val="single" w:sz="6" w:space="0" w:color="auto"/>
            </w:tcBorders>
          </w:tcPr>
          <w:p w14:paraId="24E24C7E" w14:textId="77777777" w:rsidR="00D44E06" w:rsidRPr="007B0176" w:rsidRDefault="00D44E06" w:rsidP="008C6174">
            <w:pPr>
              <w:pStyle w:val="wTableNormal"/>
              <w:jc w:val="center"/>
              <w:rPr>
                <w:sz w:val="18"/>
                <w:szCs w:val="18"/>
              </w:rPr>
            </w:pPr>
            <w:r>
              <w:rPr>
                <w:szCs w:val="22"/>
              </w:rPr>
              <w:t>$0</w:t>
            </w:r>
          </w:p>
        </w:tc>
        <w:tc>
          <w:tcPr>
            <w:tcW w:w="1430" w:type="dxa"/>
            <w:tcBorders>
              <w:top w:val="single" w:sz="6" w:space="0" w:color="auto"/>
              <w:left w:val="single" w:sz="6" w:space="0" w:color="auto"/>
              <w:bottom w:val="single" w:sz="6" w:space="0" w:color="auto"/>
              <w:right w:val="single" w:sz="6" w:space="0" w:color="auto"/>
            </w:tcBorders>
          </w:tcPr>
          <w:p w14:paraId="189D336D" w14:textId="77777777" w:rsidR="00D44E06" w:rsidRPr="007B0176" w:rsidRDefault="00D44E06" w:rsidP="008C6174">
            <w:pPr>
              <w:pStyle w:val="wTableNormal"/>
              <w:jc w:val="center"/>
              <w:rPr>
                <w:sz w:val="18"/>
                <w:szCs w:val="18"/>
              </w:rPr>
            </w:pPr>
            <w:r>
              <w:rPr>
                <w:szCs w:val="22"/>
              </w:rPr>
              <w:t>$27,375</w:t>
            </w:r>
          </w:p>
        </w:tc>
        <w:tc>
          <w:tcPr>
            <w:tcW w:w="1044" w:type="dxa"/>
            <w:tcBorders>
              <w:top w:val="single" w:sz="6" w:space="0" w:color="auto"/>
              <w:left w:val="single" w:sz="6" w:space="0" w:color="auto"/>
              <w:bottom w:val="single" w:sz="6" w:space="0" w:color="auto"/>
              <w:right w:val="single" w:sz="6" w:space="0" w:color="auto"/>
            </w:tcBorders>
          </w:tcPr>
          <w:p w14:paraId="61CA922B" w14:textId="77777777" w:rsidR="00D44E06" w:rsidRPr="007B0176" w:rsidRDefault="00D44E06" w:rsidP="008C6174">
            <w:pPr>
              <w:pStyle w:val="wTableNormal"/>
              <w:jc w:val="center"/>
              <w:rPr>
                <w:sz w:val="18"/>
                <w:szCs w:val="18"/>
              </w:rPr>
            </w:pPr>
            <w:r>
              <w:rPr>
                <w:szCs w:val="22"/>
              </w:rPr>
              <w:t>$0</w:t>
            </w:r>
          </w:p>
        </w:tc>
        <w:tc>
          <w:tcPr>
            <w:tcW w:w="1210" w:type="dxa"/>
            <w:tcBorders>
              <w:top w:val="single" w:sz="6" w:space="0" w:color="auto"/>
              <w:left w:val="single" w:sz="6" w:space="0" w:color="auto"/>
              <w:bottom w:val="single" w:sz="6" w:space="0" w:color="auto"/>
              <w:right w:val="single" w:sz="6" w:space="0" w:color="auto"/>
            </w:tcBorders>
          </w:tcPr>
          <w:p w14:paraId="335676F4" w14:textId="77777777" w:rsidR="00D44E06" w:rsidRPr="007B0176" w:rsidRDefault="00D44E06" w:rsidP="008C6174">
            <w:pPr>
              <w:pStyle w:val="wTableNormal"/>
              <w:jc w:val="center"/>
              <w:rPr>
                <w:sz w:val="18"/>
                <w:szCs w:val="18"/>
              </w:rPr>
            </w:pPr>
            <w:r>
              <w:rPr>
                <w:szCs w:val="22"/>
              </w:rPr>
              <w:t>$18,250</w:t>
            </w:r>
          </w:p>
        </w:tc>
        <w:tc>
          <w:tcPr>
            <w:tcW w:w="1407" w:type="dxa"/>
            <w:tcBorders>
              <w:top w:val="single" w:sz="6" w:space="0" w:color="auto"/>
              <w:left w:val="single" w:sz="6" w:space="0" w:color="auto"/>
              <w:bottom w:val="single" w:sz="6" w:space="0" w:color="auto"/>
            </w:tcBorders>
            <w:vAlign w:val="center"/>
          </w:tcPr>
          <w:p w14:paraId="171E47BC" w14:textId="77777777" w:rsidR="00D44E06" w:rsidRPr="007B0176" w:rsidRDefault="00D44E06" w:rsidP="006D389B">
            <w:pPr>
              <w:pStyle w:val="wTableNormal"/>
              <w:jc w:val="center"/>
              <w:rPr>
                <w:sz w:val="18"/>
                <w:szCs w:val="18"/>
              </w:rPr>
            </w:pPr>
            <w:r w:rsidRPr="007B0176">
              <w:rPr>
                <w:sz w:val="18"/>
                <w:szCs w:val="18"/>
              </w:rPr>
              <w:t>50%</w:t>
            </w:r>
          </w:p>
        </w:tc>
      </w:tr>
      <w:tr w:rsidR="00D44E06" w:rsidRPr="006753CA" w14:paraId="63F88422" w14:textId="77777777" w:rsidTr="00837F7D">
        <w:trPr>
          <w:jc w:val="center"/>
        </w:trPr>
        <w:tc>
          <w:tcPr>
            <w:tcW w:w="1263" w:type="dxa"/>
            <w:tcBorders>
              <w:top w:val="single" w:sz="6" w:space="0" w:color="auto"/>
              <w:bottom w:val="single" w:sz="6" w:space="0" w:color="auto"/>
              <w:right w:val="single" w:sz="6" w:space="0" w:color="auto"/>
            </w:tcBorders>
          </w:tcPr>
          <w:p w14:paraId="0423218C" w14:textId="77777777" w:rsidR="00D44E06" w:rsidRPr="007B0176" w:rsidRDefault="00D44E06" w:rsidP="008C6174">
            <w:pPr>
              <w:pStyle w:val="wTableNormal"/>
              <w:jc w:val="center"/>
              <w:rPr>
                <w:sz w:val="18"/>
                <w:szCs w:val="18"/>
              </w:rPr>
            </w:pPr>
            <w:r>
              <w:rPr>
                <w:szCs w:val="22"/>
              </w:rPr>
              <w:t>$36,500</w:t>
            </w:r>
          </w:p>
        </w:tc>
        <w:tc>
          <w:tcPr>
            <w:tcW w:w="990" w:type="dxa"/>
            <w:tcBorders>
              <w:top w:val="single" w:sz="6" w:space="0" w:color="auto"/>
              <w:left w:val="single" w:sz="6" w:space="0" w:color="auto"/>
              <w:bottom w:val="single" w:sz="6" w:space="0" w:color="auto"/>
              <w:right w:val="single" w:sz="6" w:space="0" w:color="auto"/>
            </w:tcBorders>
          </w:tcPr>
          <w:p w14:paraId="52CA9C0D" w14:textId="77777777" w:rsidR="00D44E06" w:rsidRPr="007B0176" w:rsidRDefault="00D44E06" w:rsidP="008C6174">
            <w:pPr>
              <w:pStyle w:val="wTableNormal"/>
              <w:jc w:val="center"/>
              <w:rPr>
                <w:sz w:val="18"/>
                <w:szCs w:val="18"/>
              </w:rPr>
            </w:pPr>
            <w:r>
              <w:rPr>
                <w:szCs w:val="22"/>
              </w:rPr>
              <w:t>$39,500</w:t>
            </w:r>
          </w:p>
        </w:tc>
        <w:tc>
          <w:tcPr>
            <w:tcW w:w="1430" w:type="dxa"/>
            <w:tcBorders>
              <w:top w:val="single" w:sz="6" w:space="0" w:color="auto"/>
              <w:left w:val="single" w:sz="6" w:space="0" w:color="auto"/>
              <w:bottom w:val="single" w:sz="6" w:space="0" w:color="auto"/>
              <w:right w:val="single" w:sz="6" w:space="0" w:color="auto"/>
            </w:tcBorders>
          </w:tcPr>
          <w:p w14:paraId="41D16E4C" w14:textId="77777777" w:rsidR="00D44E06" w:rsidRPr="007B0176" w:rsidRDefault="00D44E06" w:rsidP="008C6174">
            <w:pPr>
              <w:pStyle w:val="wTableNormal"/>
              <w:jc w:val="center"/>
              <w:rPr>
                <w:sz w:val="18"/>
                <w:szCs w:val="18"/>
              </w:rPr>
            </w:pPr>
            <w:r>
              <w:rPr>
                <w:szCs w:val="22"/>
              </w:rPr>
              <w:t>$27,375</w:t>
            </w:r>
          </w:p>
        </w:tc>
        <w:tc>
          <w:tcPr>
            <w:tcW w:w="1430" w:type="dxa"/>
            <w:tcBorders>
              <w:top w:val="single" w:sz="6" w:space="0" w:color="auto"/>
              <w:left w:val="single" w:sz="6" w:space="0" w:color="auto"/>
              <w:bottom w:val="single" w:sz="6" w:space="0" w:color="auto"/>
              <w:right w:val="single" w:sz="6" w:space="0" w:color="auto"/>
            </w:tcBorders>
          </w:tcPr>
          <w:p w14:paraId="1A812FB4" w14:textId="77777777" w:rsidR="00D44E06" w:rsidRPr="007B0176" w:rsidRDefault="00D44E06" w:rsidP="008C6174">
            <w:pPr>
              <w:pStyle w:val="wTableNormal"/>
              <w:jc w:val="center"/>
              <w:rPr>
                <w:sz w:val="18"/>
                <w:szCs w:val="18"/>
              </w:rPr>
            </w:pPr>
            <w:r>
              <w:rPr>
                <w:szCs w:val="22"/>
              </w:rPr>
              <w:t>$29,625</w:t>
            </w:r>
          </w:p>
        </w:tc>
        <w:tc>
          <w:tcPr>
            <w:tcW w:w="1044" w:type="dxa"/>
            <w:tcBorders>
              <w:top w:val="single" w:sz="6" w:space="0" w:color="auto"/>
              <w:left w:val="single" w:sz="6" w:space="0" w:color="auto"/>
              <w:bottom w:val="single" w:sz="6" w:space="0" w:color="auto"/>
              <w:right w:val="single" w:sz="6" w:space="0" w:color="auto"/>
            </w:tcBorders>
          </w:tcPr>
          <w:p w14:paraId="690FDAEA" w14:textId="77777777" w:rsidR="00D44E06" w:rsidRPr="007B0176" w:rsidRDefault="00D44E06" w:rsidP="008C6174">
            <w:pPr>
              <w:pStyle w:val="wTableNormal"/>
              <w:jc w:val="center"/>
              <w:rPr>
                <w:sz w:val="18"/>
                <w:szCs w:val="18"/>
              </w:rPr>
            </w:pPr>
            <w:r>
              <w:rPr>
                <w:szCs w:val="22"/>
              </w:rPr>
              <w:t>$18,250</w:t>
            </w:r>
          </w:p>
        </w:tc>
        <w:tc>
          <w:tcPr>
            <w:tcW w:w="1210" w:type="dxa"/>
            <w:tcBorders>
              <w:top w:val="single" w:sz="6" w:space="0" w:color="auto"/>
              <w:left w:val="single" w:sz="6" w:space="0" w:color="auto"/>
              <w:bottom w:val="single" w:sz="6" w:space="0" w:color="auto"/>
              <w:right w:val="single" w:sz="6" w:space="0" w:color="auto"/>
            </w:tcBorders>
          </w:tcPr>
          <w:p w14:paraId="204E2AA3" w14:textId="77777777" w:rsidR="00D44E06" w:rsidRPr="007B0176" w:rsidRDefault="00D44E06" w:rsidP="008C6174">
            <w:pPr>
              <w:pStyle w:val="wTableNormal"/>
              <w:jc w:val="center"/>
              <w:rPr>
                <w:sz w:val="18"/>
                <w:szCs w:val="18"/>
              </w:rPr>
            </w:pPr>
            <w:r>
              <w:rPr>
                <w:szCs w:val="22"/>
              </w:rPr>
              <w:t>$19,750</w:t>
            </w:r>
          </w:p>
        </w:tc>
        <w:tc>
          <w:tcPr>
            <w:tcW w:w="1407" w:type="dxa"/>
            <w:tcBorders>
              <w:top w:val="single" w:sz="6" w:space="0" w:color="auto"/>
              <w:left w:val="single" w:sz="6" w:space="0" w:color="auto"/>
              <w:bottom w:val="single" w:sz="6" w:space="0" w:color="auto"/>
            </w:tcBorders>
            <w:vAlign w:val="center"/>
          </w:tcPr>
          <w:p w14:paraId="71C66AB5" w14:textId="77777777" w:rsidR="00D44E06" w:rsidRPr="007B0176" w:rsidRDefault="00D44E06" w:rsidP="006D389B">
            <w:pPr>
              <w:pStyle w:val="wTableNormal"/>
              <w:jc w:val="center"/>
              <w:rPr>
                <w:sz w:val="18"/>
                <w:szCs w:val="18"/>
              </w:rPr>
            </w:pPr>
            <w:r w:rsidRPr="007B0176">
              <w:rPr>
                <w:sz w:val="18"/>
                <w:szCs w:val="18"/>
              </w:rPr>
              <w:t>20%</w:t>
            </w:r>
          </w:p>
        </w:tc>
      </w:tr>
      <w:tr w:rsidR="00D44E06" w:rsidRPr="006753CA" w14:paraId="79DEC0E4" w14:textId="77777777" w:rsidTr="00837F7D">
        <w:trPr>
          <w:jc w:val="center"/>
        </w:trPr>
        <w:tc>
          <w:tcPr>
            <w:tcW w:w="1263" w:type="dxa"/>
            <w:tcBorders>
              <w:top w:val="single" w:sz="6" w:space="0" w:color="auto"/>
              <w:bottom w:val="single" w:sz="6" w:space="0" w:color="auto"/>
              <w:right w:val="single" w:sz="6" w:space="0" w:color="auto"/>
            </w:tcBorders>
          </w:tcPr>
          <w:p w14:paraId="4FF1F939" w14:textId="77777777" w:rsidR="00D44E06" w:rsidRPr="007B0176" w:rsidRDefault="00D44E06" w:rsidP="008C6174">
            <w:pPr>
              <w:pStyle w:val="wTableNormal"/>
              <w:jc w:val="center"/>
              <w:rPr>
                <w:sz w:val="18"/>
                <w:szCs w:val="18"/>
              </w:rPr>
            </w:pPr>
            <w:r>
              <w:rPr>
                <w:szCs w:val="22"/>
              </w:rPr>
              <w:t>$39,500</w:t>
            </w:r>
          </w:p>
        </w:tc>
        <w:tc>
          <w:tcPr>
            <w:tcW w:w="990" w:type="dxa"/>
            <w:tcBorders>
              <w:top w:val="single" w:sz="6" w:space="0" w:color="auto"/>
              <w:left w:val="single" w:sz="6" w:space="0" w:color="auto"/>
              <w:bottom w:val="single" w:sz="6" w:space="0" w:color="auto"/>
              <w:right w:val="single" w:sz="6" w:space="0" w:color="auto"/>
            </w:tcBorders>
          </w:tcPr>
          <w:p w14:paraId="10F2D6A1" w14:textId="77777777" w:rsidR="00D44E06" w:rsidRPr="007B0176" w:rsidRDefault="00D44E06" w:rsidP="008C6174">
            <w:pPr>
              <w:pStyle w:val="wTableNormal"/>
              <w:jc w:val="center"/>
              <w:rPr>
                <w:sz w:val="18"/>
                <w:szCs w:val="18"/>
              </w:rPr>
            </w:pPr>
            <w:r>
              <w:rPr>
                <w:szCs w:val="22"/>
              </w:rPr>
              <w:t>$61,000</w:t>
            </w:r>
          </w:p>
        </w:tc>
        <w:tc>
          <w:tcPr>
            <w:tcW w:w="1430" w:type="dxa"/>
            <w:tcBorders>
              <w:top w:val="single" w:sz="6" w:space="0" w:color="auto"/>
              <w:left w:val="single" w:sz="6" w:space="0" w:color="auto"/>
              <w:bottom w:val="single" w:sz="6" w:space="0" w:color="auto"/>
              <w:right w:val="single" w:sz="6" w:space="0" w:color="auto"/>
            </w:tcBorders>
          </w:tcPr>
          <w:p w14:paraId="4F208693" w14:textId="77777777" w:rsidR="00D44E06" w:rsidRPr="007B0176" w:rsidRDefault="00D44E06" w:rsidP="008C6174">
            <w:pPr>
              <w:pStyle w:val="wTableNormal"/>
              <w:jc w:val="center"/>
              <w:rPr>
                <w:sz w:val="18"/>
                <w:szCs w:val="18"/>
              </w:rPr>
            </w:pPr>
            <w:r>
              <w:rPr>
                <w:szCs w:val="22"/>
              </w:rPr>
              <w:t>$29,625</w:t>
            </w:r>
          </w:p>
        </w:tc>
        <w:tc>
          <w:tcPr>
            <w:tcW w:w="1430" w:type="dxa"/>
            <w:tcBorders>
              <w:top w:val="single" w:sz="6" w:space="0" w:color="auto"/>
              <w:left w:val="single" w:sz="6" w:space="0" w:color="auto"/>
              <w:bottom w:val="single" w:sz="6" w:space="0" w:color="auto"/>
              <w:right w:val="single" w:sz="6" w:space="0" w:color="auto"/>
            </w:tcBorders>
          </w:tcPr>
          <w:p w14:paraId="2DD79610" w14:textId="77777777" w:rsidR="00D44E06" w:rsidRPr="007B0176" w:rsidRDefault="00D44E06" w:rsidP="008C6174">
            <w:pPr>
              <w:pStyle w:val="wTableNormal"/>
              <w:jc w:val="center"/>
              <w:rPr>
                <w:sz w:val="18"/>
                <w:szCs w:val="18"/>
              </w:rPr>
            </w:pPr>
            <w:r>
              <w:rPr>
                <w:szCs w:val="22"/>
              </w:rPr>
              <w:t>$45,750</w:t>
            </w:r>
          </w:p>
        </w:tc>
        <w:tc>
          <w:tcPr>
            <w:tcW w:w="1044" w:type="dxa"/>
            <w:tcBorders>
              <w:top w:val="single" w:sz="6" w:space="0" w:color="auto"/>
              <w:left w:val="single" w:sz="6" w:space="0" w:color="auto"/>
              <w:bottom w:val="single" w:sz="6" w:space="0" w:color="auto"/>
              <w:right w:val="single" w:sz="6" w:space="0" w:color="auto"/>
            </w:tcBorders>
          </w:tcPr>
          <w:p w14:paraId="42A4A36D" w14:textId="77777777" w:rsidR="00D44E06" w:rsidRPr="007B0176" w:rsidRDefault="00D44E06" w:rsidP="008C6174">
            <w:pPr>
              <w:pStyle w:val="wTableNormal"/>
              <w:jc w:val="center"/>
              <w:rPr>
                <w:sz w:val="18"/>
                <w:szCs w:val="18"/>
              </w:rPr>
            </w:pPr>
            <w:r>
              <w:rPr>
                <w:szCs w:val="22"/>
              </w:rPr>
              <w:t>$19,750</w:t>
            </w:r>
          </w:p>
        </w:tc>
        <w:tc>
          <w:tcPr>
            <w:tcW w:w="1210" w:type="dxa"/>
            <w:tcBorders>
              <w:top w:val="single" w:sz="6" w:space="0" w:color="auto"/>
              <w:left w:val="single" w:sz="6" w:space="0" w:color="auto"/>
              <w:bottom w:val="single" w:sz="6" w:space="0" w:color="auto"/>
              <w:right w:val="single" w:sz="6" w:space="0" w:color="auto"/>
            </w:tcBorders>
          </w:tcPr>
          <w:p w14:paraId="411E6E9B" w14:textId="77777777" w:rsidR="00D44E06" w:rsidRPr="007B0176" w:rsidRDefault="00D44E06" w:rsidP="008C6174">
            <w:pPr>
              <w:pStyle w:val="wTableNormal"/>
              <w:jc w:val="center"/>
              <w:rPr>
                <w:sz w:val="18"/>
                <w:szCs w:val="18"/>
              </w:rPr>
            </w:pPr>
            <w:r>
              <w:rPr>
                <w:szCs w:val="22"/>
              </w:rPr>
              <w:t>$30,500</w:t>
            </w:r>
          </w:p>
        </w:tc>
        <w:tc>
          <w:tcPr>
            <w:tcW w:w="1407" w:type="dxa"/>
            <w:tcBorders>
              <w:top w:val="single" w:sz="6" w:space="0" w:color="auto"/>
              <w:left w:val="single" w:sz="6" w:space="0" w:color="auto"/>
              <w:bottom w:val="single" w:sz="6" w:space="0" w:color="auto"/>
            </w:tcBorders>
            <w:vAlign w:val="center"/>
          </w:tcPr>
          <w:p w14:paraId="4785FA43" w14:textId="77777777" w:rsidR="00D44E06" w:rsidRPr="007B0176" w:rsidRDefault="00D44E06" w:rsidP="006D389B">
            <w:pPr>
              <w:pStyle w:val="wTableNormal"/>
              <w:jc w:val="center"/>
              <w:rPr>
                <w:sz w:val="18"/>
                <w:szCs w:val="18"/>
              </w:rPr>
            </w:pPr>
            <w:r w:rsidRPr="007B0176">
              <w:rPr>
                <w:sz w:val="18"/>
                <w:szCs w:val="18"/>
              </w:rPr>
              <w:t>10%</w:t>
            </w:r>
          </w:p>
        </w:tc>
      </w:tr>
      <w:tr w:rsidR="00D44E06" w:rsidRPr="006753CA" w14:paraId="442F8781" w14:textId="77777777" w:rsidTr="00837F7D">
        <w:trPr>
          <w:jc w:val="center"/>
        </w:trPr>
        <w:tc>
          <w:tcPr>
            <w:tcW w:w="1263" w:type="dxa"/>
            <w:tcBorders>
              <w:top w:val="single" w:sz="6" w:space="0" w:color="auto"/>
              <w:right w:val="single" w:sz="6" w:space="0" w:color="auto"/>
            </w:tcBorders>
          </w:tcPr>
          <w:p w14:paraId="719AE1E3" w14:textId="77777777" w:rsidR="00D44E06" w:rsidRPr="007B0176" w:rsidRDefault="00D44E06" w:rsidP="008C6174">
            <w:pPr>
              <w:pStyle w:val="wTableNormal"/>
              <w:jc w:val="center"/>
              <w:rPr>
                <w:sz w:val="18"/>
                <w:szCs w:val="18"/>
              </w:rPr>
            </w:pPr>
            <w:r>
              <w:rPr>
                <w:szCs w:val="22"/>
              </w:rPr>
              <w:t>$61,000</w:t>
            </w:r>
          </w:p>
        </w:tc>
        <w:tc>
          <w:tcPr>
            <w:tcW w:w="990" w:type="dxa"/>
            <w:tcBorders>
              <w:top w:val="single" w:sz="6" w:space="0" w:color="auto"/>
              <w:left w:val="single" w:sz="6" w:space="0" w:color="auto"/>
              <w:right w:val="single" w:sz="6" w:space="0" w:color="auto"/>
            </w:tcBorders>
          </w:tcPr>
          <w:p w14:paraId="5DD8B36E" w14:textId="77777777" w:rsidR="00D44E06" w:rsidRPr="007B0176" w:rsidRDefault="00D44E06" w:rsidP="008C6174">
            <w:pPr>
              <w:pStyle w:val="wTableNormal"/>
              <w:jc w:val="center"/>
              <w:rPr>
                <w:sz w:val="18"/>
                <w:szCs w:val="18"/>
              </w:rPr>
            </w:pPr>
          </w:p>
        </w:tc>
        <w:tc>
          <w:tcPr>
            <w:tcW w:w="1430" w:type="dxa"/>
            <w:tcBorders>
              <w:top w:val="single" w:sz="6" w:space="0" w:color="auto"/>
              <w:left w:val="single" w:sz="6" w:space="0" w:color="auto"/>
              <w:right w:val="single" w:sz="6" w:space="0" w:color="auto"/>
            </w:tcBorders>
          </w:tcPr>
          <w:p w14:paraId="5D686770" w14:textId="77777777" w:rsidR="00D44E06" w:rsidRPr="007B0176" w:rsidRDefault="00D44E06" w:rsidP="008C6174">
            <w:pPr>
              <w:pStyle w:val="wTableNormal"/>
              <w:jc w:val="center"/>
              <w:rPr>
                <w:sz w:val="18"/>
                <w:szCs w:val="18"/>
              </w:rPr>
            </w:pPr>
            <w:r>
              <w:rPr>
                <w:szCs w:val="22"/>
              </w:rPr>
              <w:t>$45,750</w:t>
            </w:r>
          </w:p>
        </w:tc>
        <w:tc>
          <w:tcPr>
            <w:tcW w:w="1430" w:type="dxa"/>
            <w:tcBorders>
              <w:top w:val="single" w:sz="6" w:space="0" w:color="auto"/>
              <w:left w:val="single" w:sz="6" w:space="0" w:color="auto"/>
              <w:right w:val="single" w:sz="6" w:space="0" w:color="auto"/>
            </w:tcBorders>
          </w:tcPr>
          <w:p w14:paraId="095523C9" w14:textId="77777777" w:rsidR="00D44E06" w:rsidRPr="007B0176" w:rsidRDefault="00D44E06" w:rsidP="008C6174">
            <w:pPr>
              <w:pStyle w:val="wTableNormal"/>
              <w:jc w:val="center"/>
              <w:rPr>
                <w:sz w:val="18"/>
                <w:szCs w:val="18"/>
              </w:rPr>
            </w:pPr>
          </w:p>
        </w:tc>
        <w:tc>
          <w:tcPr>
            <w:tcW w:w="1044" w:type="dxa"/>
            <w:tcBorders>
              <w:top w:val="single" w:sz="6" w:space="0" w:color="auto"/>
              <w:left w:val="single" w:sz="6" w:space="0" w:color="auto"/>
              <w:right w:val="single" w:sz="6" w:space="0" w:color="auto"/>
            </w:tcBorders>
          </w:tcPr>
          <w:p w14:paraId="224A7F4F" w14:textId="77777777" w:rsidR="00D44E06" w:rsidRPr="007B0176" w:rsidRDefault="00D44E06" w:rsidP="008C6174">
            <w:pPr>
              <w:pStyle w:val="wTableNormal"/>
              <w:jc w:val="center"/>
              <w:rPr>
                <w:sz w:val="18"/>
                <w:szCs w:val="18"/>
              </w:rPr>
            </w:pPr>
            <w:r>
              <w:rPr>
                <w:szCs w:val="22"/>
              </w:rPr>
              <w:t>$30,500</w:t>
            </w:r>
          </w:p>
        </w:tc>
        <w:tc>
          <w:tcPr>
            <w:tcW w:w="1210" w:type="dxa"/>
            <w:tcBorders>
              <w:top w:val="single" w:sz="6" w:space="0" w:color="auto"/>
              <w:left w:val="single" w:sz="6" w:space="0" w:color="auto"/>
              <w:right w:val="single" w:sz="6" w:space="0" w:color="auto"/>
            </w:tcBorders>
          </w:tcPr>
          <w:p w14:paraId="1F02B066" w14:textId="77777777" w:rsidR="00D44E06" w:rsidRPr="007B0176" w:rsidRDefault="00D44E06" w:rsidP="008C6174">
            <w:pPr>
              <w:pStyle w:val="wTableNormal"/>
              <w:jc w:val="center"/>
              <w:rPr>
                <w:sz w:val="18"/>
                <w:szCs w:val="18"/>
              </w:rPr>
            </w:pPr>
          </w:p>
        </w:tc>
        <w:tc>
          <w:tcPr>
            <w:tcW w:w="1407" w:type="dxa"/>
            <w:tcBorders>
              <w:top w:val="single" w:sz="6" w:space="0" w:color="auto"/>
              <w:left w:val="single" w:sz="6" w:space="0" w:color="auto"/>
            </w:tcBorders>
            <w:vAlign w:val="center"/>
          </w:tcPr>
          <w:p w14:paraId="45360375" w14:textId="77777777" w:rsidR="00D44E06" w:rsidRPr="007B0176" w:rsidRDefault="00D44E06" w:rsidP="006D389B">
            <w:pPr>
              <w:pStyle w:val="wTableNormal"/>
              <w:jc w:val="center"/>
              <w:rPr>
                <w:sz w:val="18"/>
                <w:szCs w:val="18"/>
              </w:rPr>
            </w:pPr>
            <w:r w:rsidRPr="007B0176">
              <w:rPr>
                <w:sz w:val="18"/>
                <w:szCs w:val="18"/>
              </w:rPr>
              <w:t>0%</w:t>
            </w:r>
          </w:p>
        </w:tc>
      </w:tr>
    </w:tbl>
    <w:p w14:paraId="6E6E3E32" w14:textId="77777777" w:rsidR="002864D2" w:rsidRPr="009F458F" w:rsidRDefault="002864D2" w:rsidP="009C4A7D">
      <w:pPr>
        <w:pStyle w:val="Heading2"/>
        <w:rPr>
          <w:sz w:val="22"/>
          <w:szCs w:val="22"/>
        </w:rPr>
      </w:pPr>
      <w:bookmarkStart w:id="183" w:name="_Toc48025285"/>
      <w:bookmarkStart w:id="184" w:name="_Toc404357246"/>
      <w:r w:rsidRPr="009F458F">
        <w:t>Distributions</w:t>
      </w:r>
      <w:bookmarkEnd w:id="183"/>
      <w:bookmarkEnd w:id="184"/>
    </w:p>
    <w:p w14:paraId="1654F84E" w14:textId="77777777" w:rsidR="00AE0237" w:rsidRDefault="00AE0237" w:rsidP="00825E0B">
      <w:pPr>
        <w:rPr>
          <w:szCs w:val="22"/>
        </w:rPr>
      </w:pPr>
      <w:r>
        <w:rPr>
          <w:szCs w:val="22"/>
        </w:rPr>
        <w:t>Distributions from a SIMPLE IRA are fully taxable as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Pr>
          <w:szCs w:val="22"/>
        </w:rPr>
        <w:t xml:space="preserve"> in the year distributed.</w:t>
      </w:r>
      <w:r w:rsidR="00297ACB">
        <w:rPr>
          <w:szCs w:val="22"/>
        </w:rPr>
        <w:t xml:space="preserve"> </w:t>
      </w:r>
      <w:r>
        <w:rPr>
          <w:szCs w:val="22"/>
        </w:rPr>
        <w:t>SIMPLE IRA distributions, not unlike distributions from other tax-favored retirement plans, are intended by Congress to be taken principally for retirement purposes.</w:t>
      </w:r>
      <w:r w:rsidR="00297ACB">
        <w:rPr>
          <w:szCs w:val="22"/>
        </w:rPr>
        <w:t xml:space="preserve"> </w:t>
      </w:r>
      <w:r>
        <w:rPr>
          <w:szCs w:val="22"/>
        </w:rPr>
        <w:t>For that reason, premature distributions</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Pr>
          <w:szCs w:val="22"/>
        </w:rPr>
        <w:t>—generally those taken before the employee attains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—are </w:t>
      </w:r>
      <w:r w:rsidR="005E0523">
        <w:rPr>
          <w:szCs w:val="22"/>
        </w:rPr>
        <w:t xml:space="preserve">also </w:t>
      </w:r>
      <w:r>
        <w:rPr>
          <w:szCs w:val="22"/>
        </w:rPr>
        <w:t>subject to a premature distribution tax penalty, unless a specific exception applies.</w:t>
      </w:r>
    </w:p>
    <w:p w14:paraId="54C690CA" w14:textId="77777777" w:rsidR="009D330D" w:rsidRDefault="009D330D" w:rsidP="009D330D">
      <w:pPr>
        <w:pStyle w:val="Heading3"/>
      </w:pPr>
      <w:bookmarkStart w:id="185" w:name="_Toc404357247"/>
      <w:r>
        <w:t>Premature Distributions</w:t>
      </w:r>
      <w:bookmarkEnd w:id="185"/>
    </w:p>
    <w:p w14:paraId="60AD8805" w14:textId="77777777" w:rsidR="001768D3" w:rsidRDefault="001768D3" w:rsidP="00825E0B">
      <w:pPr>
        <w:rPr>
          <w:szCs w:val="22"/>
        </w:rPr>
      </w:pPr>
      <w:r>
        <w:rPr>
          <w:szCs w:val="22"/>
        </w:rPr>
        <w:t>However, the tax penalty resulting from a premature distribution from a SIMPLE IRA may be far more taxing than a premature distribution from other tax-favored plans.</w:t>
      </w:r>
      <w:r w:rsidR="00297ACB">
        <w:rPr>
          <w:szCs w:val="22"/>
        </w:rPr>
        <w:t xml:space="preserve"> </w:t>
      </w:r>
      <w:r>
        <w:rPr>
          <w:szCs w:val="22"/>
        </w:rPr>
        <w:t>In general, premature distributions</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Pr>
          <w:szCs w:val="22"/>
        </w:rPr>
        <w:t xml:space="preserve"> from a SIMPLE IRA are subject to a 10 percent penalty tax on the amount of the premature distribution includible in income.</w:t>
      </w:r>
      <w:r w:rsidR="00297ACB">
        <w:rPr>
          <w:szCs w:val="22"/>
        </w:rPr>
        <w:t xml:space="preserve"> </w:t>
      </w:r>
      <w:r>
        <w:rPr>
          <w:szCs w:val="22"/>
        </w:rPr>
        <w:t>(In most cases, the entire distribution is includible in income.)</w:t>
      </w:r>
      <w:r w:rsidR="00297ACB">
        <w:rPr>
          <w:szCs w:val="22"/>
        </w:rPr>
        <w:t xml:space="preserve"> </w:t>
      </w:r>
      <w:r>
        <w:rPr>
          <w:szCs w:val="22"/>
        </w:rPr>
        <w:t>A premature distribution from a SIMPLE IRA within the first 2 years of employee participation will subject the recipient to a premature distribution tax penalty of 25 percent.</w:t>
      </w:r>
    </w:p>
    <w:p w14:paraId="7C482492" w14:textId="77777777" w:rsidR="009D330D" w:rsidRDefault="009D330D" w:rsidP="009D330D">
      <w:pPr>
        <w:pStyle w:val="Heading4"/>
      </w:pPr>
      <w:bookmarkStart w:id="186" w:name="_Toc404357248"/>
      <w:r>
        <w:t>Exceptions to Premature Distribution Tax Penalty</w:t>
      </w:r>
      <w:bookmarkEnd w:id="186"/>
    </w:p>
    <w:p w14:paraId="76AFDF6F" w14:textId="77777777" w:rsidR="00AE0237" w:rsidRPr="000B485C" w:rsidRDefault="00AE0237" w:rsidP="00825E0B">
      <w:pPr>
        <w:rPr>
          <w:i/>
          <w:szCs w:val="22"/>
        </w:rPr>
      </w:pPr>
      <w:r w:rsidRPr="000B485C">
        <w:rPr>
          <w:szCs w:val="22"/>
        </w:rPr>
        <w:t>There are certain premature distributions</w:t>
      </w:r>
      <w:r w:rsidR="00A95039">
        <w:rPr>
          <w:szCs w:val="22"/>
        </w:rPr>
        <w:fldChar w:fldCharType="begin"/>
      </w:r>
      <w:r w:rsidR="00293611">
        <w:instrText xml:space="preserve"> XE "</w:instrText>
      </w:r>
      <w:r w:rsidR="00293611" w:rsidRPr="00CD56BD">
        <w:rPr>
          <w:szCs w:val="22"/>
        </w:rPr>
        <w:instrText>premature distributions</w:instrText>
      </w:r>
      <w:r w:rsidR="00293611">
        <w:instrText xml:space="preserve">" </w:instrText>
      </w:r>
      <w:r w:rsidR="00A95039">
        <w:rPr>
          <w:szCs w:val="22"/>
        </w:rPr>
        <w:fldChar w:fldCharType="end"/>
      </w:r>
      <w:r w:rsidRPr="000B485C">
        <w:rPr>
          <w:szCs w:val="22"/>
        </w:rPr>
        <w:t xml:space="preserve"> to which the 10 percent </w:t>
      </w:r>
      <w:r w:rsidR="001768D3">
        <w:rPr>
          <w:szCs w:val="22"/>
        </w:rPr>
        <w:t xml:space="preserve">(or 25 percent) </w:t>
      </w:r>
      <w:r w:rsidRPr="000B485C">
        <w:rPr>
          <w:szCs w:val="22"/>
        </w:rPr>
        <w:t>penalty tax doesn’t apply</w:t>
      </w:r>
      <w:r>
        <w:rPr>
          <w:szCs w:val="22"/>
        </w:rPr>
        <w:t>, despite being made prior to the employee’s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sidRPr="000B485C">
        <w:rPr>
          <w:szCs w:val="22"/>
        </w:rPr>
        <w:t>.</w:t>
      </w:r>
      <w:r w:rsidR="00297ACB">
        <w:rPr>
          <w:szCs w:val="22"/>
        </w:rPr>
        <w:t xml:space="preserve"> </w:t>
      </w:r>
      <w:r>
        <w:rPr>
          <w:szCs w:val="22"/>
        </w:rPr>
        <w:t>Those distributions include distributions:</w:t>
      </w:r>
    </w:p>
    <w:p w14:paraId="541BA2D4" w14:textId="77777777" w:rsidR="00AE0237" w:rsidRPr="00781311" w:rsidRDefault="00AE0237" w:rsidP="007A5E54">
      <w:pPr>
        <w:numPr>
          <w:ilvl w:val="0"/>
          <w:numId w:val="35"/>
        </w:numPr>
        <w:contextualSpacing/>
      </w:pPr>
      <w:r w:rsidRPr="00781311">
        <w:t xml:space="preserve">Made at the </w:t>
      </w:r>
      <w:r w:rsidR="005E0523" w:rsidRPr="00781311">
        <w:t>employee</w:t>
      </w:r>
      <w:r w:rsidRPr="00781311">
        <w:t>’s death</w:t>
      </w:r>
      <w:r w:rsidR="00BA0F90">
        <w:t>;</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p>
    <w:p w14:paraId="43428272" w14:textId="77777777" w:rsidR="00AE0237" w:rsidRPr="00781311" w:rsidRDefault="00AE0237" w:rsidP="007A5E54">
      <w:pPr>
        <w:numPr>
          <w:ilvl w:val="0"/>
          <w:numId w:val="35"/>
        </w:numPr>
        <w:contextualSpacing/>
      </w:pPr>
      <w:r w:rsidRPr="00781311">
        <w:t xml:space="preserve">Attributable to the </w:t>
      </w:r>
      <w:r w:rsidR="005E0523" w:rsidRPr="00781311">
        <w:t>employee</w:t>
      </w:r>
      <w:r w:rsidRPr="00781311">
        <w:t>’s disability</w:t>
      </w:r>
      <w:r w:rsidR="00BA0F90">
        <w:t>;</w:t>
      </w:r>
      <w:r w:rsidR="00A95039">
        <w:fldChar w:fldCharType="begin"/>
      </w:r>
      <w:r w:rsidR="00293611">
        <w:instrText xml:space="preserve"> XE "</w:instrText>
      </w:r>
      <w:r w:rsidR="00293611" w:rsidRPr="00CD56BD">
        <w:instrText>disability</w:instrText>
      </w:r>
      <w:r w:rsidR="00293611">
        <w:instrText xml:space="preserve">" </w:instrText>
      </w:r>
      <w:r w:rsidR="00A95039">
        <w:fldChar w:fldCharType="end"/>
      </w:r>
    </w:p>
    <w:p w14:paraId="69932AAD" w14:textId="77777777" w:rsidR="00AE0237" w:rsidRPr="00781311" w:rsidRDefault="00AE0237" w:rsidP="007A5E54">
      <w:pPr>
        <w:numPr>
          <w:ilvl w:val="0"/>
          <w:numId w:val="35"/>
        </w:numPr>
        <w:contextualSpacing/>
      </w:pPr>
      <w:r w:rsidRPr="00781311">
        <w:t>Made for medical care</w:t>
      </w:r>
      <w:r w:rsidR="00A95039">
        <w:fldChar w:fldCharType="begin"/>
      </w:r>
      <w:r w:rsidR="00293611">
        <w:instrText xml:space="preserve"> XE "</w:instrText>
      </w:r>
      <w:r w:rsidR="00293611" w:rsidRPr="00CD56BD">
        <w:instrText>medical care</w:instrText>
      </w:r>
      <w:r w:rsidR="00293611">
        <w:instrText xml:space="preserve">" </w:instrText>
      </w:r>
      <w:r w:rsidR="00A95039">
        <w:fldChar w:fldCharType="end"/>
      </w:r>
      <w:r w:rsidRPr="00781311">
        <w:t xml:space="preserve"> to the extent allowable as a medical expense deduction</w:t>
      </w:r>
      <w:r w:rsidR="00BA0F90">
        <w:t>;</w:t>
      </w:r>
    </w:p>
    <w:p w14:paraId="4DD911D4" w14:textId="77777777" w:rsidR="00AE0237" w:rsidRPr="00781311" w:rsidRDefault="00AE0237" w:rsidP="007A5E54">
      <w:pPr>
        <w:numPr>
          <w:ilvl w:val="0"/>
          <w:numId w:val="35"/>
        </w:numPr>
        <w:contextualSpacing/>
      </w:pPr>
      <w:r w:rsidRPr="00781311">
        <w:t>Made for the payment of health insurance premiums</w:t>
      </w:r>
      <w:r w:rsidR="00A95039">
        <w:fldChar w:fldCharType="begin"/>
      </w:r>
      <w:r w:rsidR="00293611">
        <w:instrText xml:space="preserve"> XE "</w:instrText>
      </w:r>
      <w:r w:rsidR="00293611" w:rsidRPr="00CD56BD">
        <w:instrText>health insurance premiums</w:instrText>
      </w:r>
      <w:r w:rsidR="00293611">
        <w:instrText xml:space="preserve">" </w:instrText>
      </w:r>
      <w:r w:rsidR="00A95039">
        <w:fldChar w:fldCharType="end"/>
      </w:r>
      <w:r w:rsidRPr="00781311">
        <w:t xml:space="preserve"> by unemployed individuals</w:t>
      </w:r>
      <w:r w:rsidR="00BA0F90">
        <w:t>;</w:t>
      </w:r>
    </w:p>
    <w:p w14:paraId="1B8DC9D6" w14:textId="77777777" w:rsidR="00AE0237" w:rsidRPr="00781311" w:rsidRDefault="00AE0237" w:rsidP="007A5E54">
      <w:pPr>
        <w:numPr>
          <w:ilvl w:val="0"/>
          <w:numId w:val="35"/>
        </w:numPr>
        <w:contextualSpacing/>
      </w:pPr>
      <w:r w:rsidRPr="00781311">
        <w:t>Made to pay qualified higher education expenses</w:t>
      </w:r>
      <w:r w:rsidR="00A95039">
        <w:fldChar w:fldCharType="begin"/>
      </w:r>
      <w:r w:rsidR="00293611">
        <w:instrText xml:space="preserve"> XE "</w:instrText>
      </w:r>
      <w:r w:rsidR="00293611" w:rsidRPr="00CD56BD">
        <w:instrText>qualified higher education expenses</w:instrText>
      </w:r>
      <w:r w:rsidR="00293611">
        <w:instrText xml:space="preserve">" </w:instrText>
      </w:r>
      <w:r w:rsidR="00A95039">
        <w:fldChar w:fldCharType="end"/>
      </w:r>
      <w:r w:rsidRPr="00781311">
        <w:t xml:space="preserve"> for the </w:t>
      </w:r>
      <w:r w:rsidR="005E0523" w:rsidRPr="00781311">
        <w:t>employee</w:t>
      </w:r>
      <w:r w:rsidRPr="00781311">
        <w:t>, his or her spouse, child or grandchild</w:t>
      </w:r>
      <w:r w:rsidR="00BA0F90">
        <w:t>;</w:t>
      </w:r>
    </w:p>
    <w:p w14:paraId="2984C5B9" w14:textId="77777777" w:rsidR="00AE0237" w:rsidRPr="00781311" w:rsidRDefault="00AE0237" w:rsidP="007A5E54">
      <w:pPr>
        <w:numPr>
          <w:ilvl w:val="0"/>
          <w:numId w:val="35"/>
        </w:numPr>
        <w:contextualSpacing/>
      </w:pPr>
      <w:r w:rsidRPr="00781311">
        <w:t xml:space="preserve">Considered </w:t>
      </w:r>
      <w:r w:rsidR="00297ACB" w:rsidRPr="00781311">
        <w:t>“</w:t>
      </w:r>
      <w:r w:rsidRPr="00781311">
        <w:t>first-time homebuyer distributions</w:t>
      </w:r>
      <w:r w:rsidR="00A95039">
        <w:fldChar w:fldCharType="begin"/>
      </w:r>
      <w:r w:rsidR="00293611">
        <w:instrText xml:space="preserve"> XE "</w:instrText>
      </w:r>
      <w:r w:rsidR="00293611" w:rsidRPr="00CD56BD">
        <w:instrText>first-time homebuyer distributions</w:instrText>
      </w:r>
      <w:r w:rsidR="00293611">
        <w:instrText xml:space="preserve">" </w:instrText>
      </w:r>
      <w:r w:rsidR="00A95039">
        <w:fldChar w:fldCharType="end"/>
      </w:r>
      <w:r w:rsidR="00297ACB" w:rsidRPr="00781311">
        <w:t>”</w:t>
      </w:r>
      <w:r w:rsidRPr="00781311">
        <w:t xml:space="preserve"> up to a lifetime maximum of $10,000</w:t>
      </w:r>
      <w:r w:rsidR="00BA0F90">
        <w:t>; or</w:t>
      </w:r>
    </w:p>
    <w:p w14:paraId="65A21FC6" w14:textId="77777777" w:rsidR="00AE0237" w:rsidRPr="00781311" w:rsidRDefault="00AE0237" w:rsidP="007A5E54">
      <w:pPr>
        <w:numPr>
          <w:ilvl w:val="0"/>
          <w:numId w:val="35"/>
        </w:numPr>
        <w:contextualSpacing/>
      </w:pPr>
      <w:r w:rsidRPr="00781311">
        <w:t>That are part of a series of substantially equal periodic payment</w:t>
      </w:r>
      <w:r w:rsidR="005E0523" w:rsidRPr="00781311">
        <w:t>s</w:t>
      </w:r>
      <w:r w:rsidR="00A95039">
        <w:fldChar w:fldCharType="begin"/>
      </w:r>
      <w:r w:rsidR="00293611">
        <w:instrText xml:space="preserve"> XE "</w:instrText>
      </w:r>
      <w:r w:rsidR="00293611" w:rsidRPr="00CD56BD">
        <w:instrText>series of substantially equal periodic payments</w:instrText>
      </w:r>
      <w:r w:rsidR="00293611">
        <w:instrText xml:space="preserve">" </w:instrText>
      </w:r>
      <w:r w:rsidR="00A95039">
        <w:fldChar w:fldCharType="end"/>
      </w:r>
      <w:r w:rsidRPr="00781311">
        <w:t xml:space="preserve"> made for the life of the </w:t>
      </w:r>
      <w:r w:rsidR="005E0523" w:rsidRPr="00781311">
        <w:t>employee</w:t>
      </w:r>
      <w:r w:rsidRPr="00781311">
        <w:t xml:space="preserve"> or the joint lives of the </w:t>
      </w:r>
      <w:r w:rsidR="005E0523" w:rsidRPr="00781311">
        <w:t>employee</w:t>
      </w:r>
      <w:r w:rsidRPr="00781311">
        <w:t xml:space="preserve"> and his or her beneficiary</w:t>
      </w:r>
    </w:p>
    <w:p w14:paraId="17A9D968" w14:textId="77777777" w:rsidR="00862936" w:rsidRDefault="00862936" w:rsidP="00862936">
      <w:pPr>
        <w:pStyle w:val="Heading3"/>
      </w:pPr>
      <w:bookmarkStart w:id="187" w:name="_Toc404357249"/>
      <w:r>
        <w:t>Required Minimum Distributions</w:t>
      </w:r>
      <w:bookmarkEnd w:id="187"/>
    </w:p>
    <w:p w14:paraId="6A062287" w14:textId="77777777" w:rsidR="00C40B12" w:rsidRDefault="00C40B12" w:rsidP="00825E0B">
      <w:pPr>
        <w:rPr>
          <w:szCs w:val="22"/>
        </w:rPr>
      </w:pPr>
      <w:r w:rsidRPr="000B485C">
        <w:rPr>
          <w:szCs w:val="22"/>
        </w:rPr>
        <w:t>The I</w:t>
      </w:r>
      <w:r>
        <w:rPr>
          <w:szCs w:val="22"/>
        </w:rPr>
        <w:t>nternal Revenue Code</w:t>
      </w:r>
      <w:r w:rsidRPr="000B485C">
        <w:rPr>
          <w:szCs w:val="22"/>
        </w:rPr>
        <w:t xml:space="preserve"> requires that minimum distribut</w:t>
      </w:r>
      <w:r>
        <w:rPr>
          <w:szCs w:val="22"/>
        </w:rPr>
        <w:t>ions from a SIMPLE IRA begin no later than the employee’s age 70½</w:t>
      </w:r>
      <w:r w:rsidR="00A95039">
        <w:rPr>
          <w:szCs w:val="22"/>
        </w:rPr>
        <w:fldChar w:fldCharType="begin"/>
      </w:r>
      <w:r w:rsidR="00293611">
        <w:instrText xml:space="preserve"> XE "</w:instrText>
      </w:r>
      <w:r w:rsidR="00293611" w:rsidRPr="00CD56BD">
        <w:rPr>
          <w:szCs w:val="22"/>
        </w:rPr>
        <w:instrText>age 70½</w:instrText>
      </w:r>
      <w:r w:rsidR="00293611">
        <w:instrText xml:space="preserve">" </w:instrText>
      </w:r>
      <w:r w:rsidR="00A95039">
        <w:rPr>
          <w:szCs w:val="22"/>
        </w:rPr>
        <w:fldChar w:fldCharType="end"/>
      </w:r>
      <w:r>
        <w:rPr>
          <w:szCs w:val="22"/>
        </w:rPr>
        <w:t>, even if the individual is continuing employment</w:t>
      </w:r>
      <w:r w:rsidRPr="000B485C">
        <w:rPr>
          <w:szCs w:val="22"/>
        </w:rPr>
        <w:t>.</w:t>
      </w:r>
      <w:r w:rsidR="00297ACB">
        <w:rPr>
          <w:szCs w:val="22"/>
        </w:rPr>
        <w:t xml:space="preserve"> </w:t>
      </w:r>
      <w:r w:rsidR="00E7667C">
        <w:rPr>
          <w:szCs w:val="22"/>
        </w:rPr>
        <w:t>T</w:t>
      </w:r>
      <w:r w:rsidRPr="000B485C">
        <w:rPr>
          <w:szCs w:val="22"/>
        </w:rPr>
        <w:t xml:space="preserve">he law permits the </w:t>
      </w:r>
      <w:r w:rsidR="00E7667C">
        <w:rPr>
          <w:szCs w:val="22"/>
        </w:rPr>
        <w:t>employee</w:t>
      </w:r>
      <w:r w:rsidRPr="000B485C">
        <w:rPr>
          <w:szCs w:val="22"/>
        </w:rPr>
        <w:t xml:space="preserve"> to delay taking these required </w:t>
      </w:r>
      <w:r w:rsidR="00A465FA">
        <w:rPr>
          <w:szCs w:val="22"/>
        </w:rPr>
        <w:t xml:space="preserve">minimum </w:t>
      </w:r>
      <w:r w:rsidRPr="000B485C">
        <w:rPr>
          <w:szCs w:val="22"/>
        </w:rPr>
        <w:t>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sidRPr="000B485C">
        <w:rPr>
          <w:szCs w:val="22"/>
        </w:rPr>
        <w:t xml:space="preserve"> until April 1</w:t>
      </w:r>
      <w:r w:rsidRPr="00AE44B4">
        <w:rPr>
          <w:szCs w:val="22"/>
          <w:vertAlign w:val="superscript"/>
        </w:rPr>
        <w:t>st</w:t>
      </w:r>
      <w:r>
        <w:rPr>
          <w:szCs w:val="22"/>
        </w:rPr>
        <w:t xml:space="preserve"> </w:t>
      </w:r>
      <w:r w:rsidRPr="000B485C">
        <w:rPr>
          <w:szCs w:val="22"/>
        </w:rPr>
        <w:t>of the year following the year in which he or she turns age 70</w:t>
      </w:r>
      <w:r>
        <w:rPr>
          <w:szCs w:val="22"/>
        </w:rPr>
        <w:t>½.</w:t>
      </w:r>
      <w:r w:rsidR="00297ACB">
        <w:rPr>
          <w:szCs w:val="22"/>
        </w:rPr>
        <w:t xml:space="preserve"> </w:t>
      </w:r>
      <w:r>
        <w:rPr>
          <w:szCs w:val="22"/>
        </w:rPr>
        <w:t xml:space="preserve">This is known as the </w:t>
      </w:r>
      <w:r w:rsidR="00297ACB">
        <w:rPr>
          <w:szCs w:val="22"/>
        </w:rPr>
        <w:t>“</w:t>
      </w:r>
      <w:r>
        <w:rPr>
          <w:szCs w:val="22"/>
        </w:rPr>
        <w:t>required beginning date</w:t>
      </w:r>
      <w:r w:rsidR="00A95039">
        <w:rPr>
          <w:szCs w:val="22"/>
        </w:rPr>
        <w:fldChar w:fldCharType="begin"/>
      </w:r>
      <w:r w:rsidR="00293611">
        <w:instrText xml:space="preserve"> XE "</w:instrText>
      </w:r>
      <w:r w:rsidR="00293611" w:rsidRPr="00CD56BD">
        <w:rPr>
          <w:szCs w:val="22"/>
        </w:rPr>
        <w:instrText>required beginning date</w:instrText>
      </w:r>
      <w:r w:rsidR="00293611">
        <w:instrText xml:space="preserve">" </w:instrText>
      </w:r>
      <w:r w:rsidR="00A95039">
        <w:rPr>
          <w:szCs w:val="22"/>
        </w:rPr>
        <w:fldChar w:fldCharType="end"/>
      </w:r>
      <w:r>
        <w:rPr>
          <w:szCs w:val="22"/>
        </w:rPr>
        <w:t>.</w:t>
      </w:r>
      <w:r w:rsidR="00297ACB">
        <w:rPr>
          <w:szCs w:val="22"/>
        </w:rPr>
        <w:t xml:space="preserve">” </w:t>
      </w:r>
      <w:r w:rsidR="00E7667C">
        <w:rPr>
          <w:szCs w:val="22"/>
        </w:rPr>
        <w:t>By waiting until this required beginning date to take the initial minimum required distribution,</w:t>
      </w:r>
      <w:r w:rsidRPr="000B485C">
        <w:rPr>
          <w:szCs w:val="22"/>
        </w:rPr>
        <w:t xml:space="preserve"> the </w:t>
      </w:r>
      <w:r w:rsidR="00E7667C">
        <w:rPr>
          <w:szCs w:val="22"/>
        </w:rPr>
        <w:t>employee</w:t>
      </w:r>
      <w:r w:rsidRPr="000B485C">
        <w:rPr>
          <w:szCs w:val="22"/>
        </w:rPr>
        <w:t xml:space="preserve"> must then take a second distribution by December 31</w:t>
      </w:r>
      <w:r w:rsidRPr="00AE44B4">
        <w:rPr>
          <w:szCs w:val="22"/>
          <w:vertAlign w:val="superscript"/>
        </w:rPr>
        <w:t>st</w:t>
      </w:r>
      <w:r>
        <w:rPr>
          <w:szCs w:val="22"/>
        </w:rPr>
        <w:t xml:space="preserve"> </w:t>
      </w:r>
      <w:r w:rsidRPr="000B485C">
        <w:rPr>
          <w:szCs w:val="22"/>
        </w:rPr>
        <w:t>of that same year.</w:t>
      </w:r>
      <w:r w:rsidR="00297ACB">
        <w:rPr>
          <w:szCs w:val="22"/>
        </w:rPr>
        <w:t xml:space="preserve"> </w:t>
      </w:r>
      <w:r w:rsidRPr="000B485C">
        <w:rPr>
          <w:szCs w:val="22"/>
        </w:rPr>
        <w:t>As a result, two taxable distributions will occur during the same year</w:t>
      </w:r>
      <w:r w:rsidR="00E7667C">
        <w:rPr>
          <w:szCs w:val="22"/>
        </w:rPr>
        <w:t>, with consequently greater tax liability</w:t>
      </w:r>
      <w:r w:rsidRPr="000B485C">
        <w:rPr>
          <w:szCs w:val="22"/>
        </w:rPr>
        <w:t>.</w:t>
      </w:r>
    </w:p>
    <w:p w14:paraId="08677448" w14:textId="77777777" w:rsidR="00E7667C" w:rsidRDefault="00E7667C" w:rsidP="00825E0B">
      <w:pPr>
        <w:rPr>
          <w:szCs w:val="22"/>
        </w:rPr>
      </w:pPr>
      <w:r>
        <w:rPr>
          <w:szCs w:val="22"/>
        </w:rPr>
        <w:lastRenderedPageBreak/>
        <w:t>The rules governing required minimum distributions</w:t>
      </w:r>
      <w:r w:rsidR="00A95039">
        <w:rPr>
          <w:szCs w:val="22"/>
        </w:rPr>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rPr>
          <w:szCs w:val="22"/>
        </w:rPr>
        <w:fldChar w:fldCharType="end"/>
      </w:r>
      <w:r>
        <w:rPr>
          <w:szCs w:val="22"/>
        </w:rPr>
        <w:t xml:space="preserve"> (</w:t>
      </w:r>
      <w:r w:rsidR="006C5D6E">
        <w:rPr>
          <w:szCs w:val="22"/>
        </w:rPr>
        <w:t>R</w:t>
      </w:r>
      <w:r w:rsidR="00BE17CF">
        <w:rPr>
          <w:szCs w:val="22"/>
        </w:rPr>
        <w:t>M</w:t>
      </w:r>
      <w:r w:rsidR="006C5D6E">
        <w:rPr>
          <w:szCs w:val="22"/>
        </w:rPr>
        <w:t>D</w:t>
      </w:r>
      <w:r>
        <w:rPr>
          <w:szCs w:val="22"/>
        </w:rPr>
        <w:t xml:space="preserve">s) from SIMPLE IRAs are the same rules that apply to traditional IRAs, rather than the rules that apply to qualified retirement plans. As a result, an employee must begin to take at least minimum distributions when he or she reaches age 70 ½ and may not defer taking </w:t>
      </w:r>
      <w:r w:rsidR="006C5D6E">
        <w:rPr>
          <w:szCs w:val="22"/>
        </w:rPr>
        <w:t>R</w:t>
      </w:r>
      <w:r w:rsidR="00BE17CF">
        <w:rPr>
          <w:szCs w:val="22"/>
        </w:rPr>
        <w:t>M</w:t>
      </w:r>
      <w:r w:rsidR="006C5D6E">
        <w:rPr>
          <w:szCs w:val="22"/>
        </w:rPr>
        <w:t>D</w:t>
      </w:r>
      <w:r>
        <w:rPr>
          <w:szCs w:val="22"/>
        </w:rPr>
        <w:t>s until a later retirement date.</w:t>
      </w:r>
    </w:p>
    <w:p w14:paraId="03E49C77" w14:textId="77777777" w:rsidR="00C40B12" w:rsidRPr="000B485C" w:rsidRDefault="00C40B12" w:rsidP="00825E0B">
      <w:pPr>
        <w:rPr>
          <w:szCs w:val="22"/>
        </w:rPr>
      </w:pPr>
      <w:r>
        <w:rPr>
          <w:szCs w:val="22"/>
        </w:rPr>
        <w:t>In general, t</w:t>
      </w:r>
      <w:r w:rsidRPr="000B485C">
        <w:rPr>
          <w:szCs w:val="22"/>
        </w:rPr>
        <w:t xml:space="preserve">he minimum required distribution is equal to the value of the </w:t>
      </w:r>
      <w:r w:rsidR="00E7667C">
        <w:rPr>
          <w:szCs w:val="22"/>
        </w:rPr>
        <w:t>SIMPLE</w:t>
      </w:r>
      <w:r>
        <w:rPr>
          <w:szCs w:val="22"/>
        </w:rPr>
        <w:t xml:space="preserve"> IRA</w:t>
      </w:r>
      <w:r w:rsidRPr="000B485C">
        <w:rPr>
          <w:szCs w:val="22"/>
        </w:rPr>
        <w:t xml:space="preserve"> divided by the </w:t>
      </w:r>
      <w:r w:rsidR="00E7667C">
        <w:rPr>
          <w:szCs w:val="22"/>
        </w:rPr>
        <w:t>employee’s</w:t>
      </w:r>
      <w:r w:rsidRPr="000B485C">
        <w:rPr>
          <w:szCs w:val="22"/>
        </w:rPr>
        <w:t xml:space="preserve"> remaining life expectancy.</w:t>
      </w:r>
      <w:r w:rsidR="00297ACB">
        <w:rPr>
          <w:szCs w:val="22"/>
        </w:rPr>
        <w:t xml:space="preserve"> </w:t>
      </w:r>
      <w:r>
        <w:rPr>
          <w:szCs w:val="22"/>
        </w:rPr>
        <w:t>In fact, the federal government has made the determination of remaining life expectancy easy by publishing a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that governs most lifetime required distributions by prescribing distribution periods depending on the age of the individual.</w:t>
      </w:r>
    </w:p>
    <w:p w14:paraId="74533E72" w14:textId="77777777" w:rsidR="00C40B12" w:rsidRDefault="00C40B12" w:rsidP="00825E0B">
      <w:pPr>
        <w:rPr>
          <w:szCs w:val="22"/>
        </w:rPr>
      </w:pPr>
      <w:r>
        <w:rPr>
          <w:szCs w:val="22"/>
        </w:rPr>
        <w:t>A</w:t>
      </w:r>
      <w:r w:rsidRPr="000B485C">
        <w:rPr>
          <w:szCs w:val="22"/>
        </w:rPr>
        <w:t xml:space="preserve"> failure to follow </w:t>
      </w:r>
      <w:r w:rsidR="00E7667C">
        <w:rPr>
          <w:szCs w:val="22"/>
        </w:rPr>
        <w:t xml:space="preserve">the </w:t>
      </w:r>
      <w:r w:rsidR="006C5D6E">
        <w:rPr>
          <w:szCs w:val="22"/>
        </w:rPr>
        <w:t>R</w:t>
      </w:r>
      <w:r w:rsidR="00BE17CF">
        <w:rPr>
          <w:szCs w:val="22"/>
        </w:rPr>
        <w:t>M</w:t>
      </w:r>
      <w:r w:rsidR="006C5D6E">
        <w:rPr>
          <w:szCs w:val="22"/>
        </w:rPr>
        <w:t>D</w:t>
      </w:r>
      <w:r w:rsidR="00E7667C">
        <w:rPr>
          <w:szCs w:val="22"/>
        </w:rPr>
        <w:t xml:space="preserve"> </w:t>
      </w:r>
      <w:r w:rsidRPr="000B485C">
        <w:rPr>
          <w:szCs w:val="22"/>
        </w:rPr>
        <w:t xml:space="preserve">rules </w:t>
      </w:r>
      <w:r>
        <w:rPr>
          <w:szCs w:val="22"/>
        </w:rPr>
        <w:t xml:space="preserve">prescribed by the government </w:t>
      </w:r>
      <w:r w:rsidR="00E7667C">
        <w:rPr>
          <w:szCs w:val="22"/>
        </w:rPr>
        <w:t>results in</w:t>
      </w:r>
      <w:r w:rsidRPr="000B485C">
        <w:rPr>
          <w:szCs w:val="22"/>
        </w:rPr>
        <w:t xml:space="preserve"> </w:t>
      </w:r>
      <w:r>
        <w:rPr>
          <w:szCs w:val="22"/>
        </w:rPr>
        <w:t>the</w:t>
      </w:r>
      <w:r w:rsidR="00E7667C">
        <w:rPr>
          <w:szCs w:val="22"/>
        </w:rPr>
        <w:t xml:space="preserve"> imposition of additional taxes</w:t>
      </w:r>
      <w:r w:rsidRPr="000B485C">
        <w:rPr>
          <w:szCs w:val="22"/>
        </w:rPr>
        <w:t>.</w:t>
      </w:r>
      <w:r w:rsidR="00297ACB">
        <w:rPr>
          <w:szCs w:val="22"/>
        </w:rPr>
        <w:t xml:space="preserve"> </w:t>
      </w:r>
      <w:r w:rsidRPr="000B485C">
        <w:rPr>
          <w:szCs w:val="22"/>
        </w:rPr>
        <w:t xml:space="preserve">The penalty </w:t>
      </w:r>
      <w:r>
        <w:rPr>
          <w:szCs w:val="22"/>
        </w:rPr>
        <w:t>for a failure to take a distribution</w:t>
      </w:r>
      <w:r w:rsidR="00A95039">
        <w:rPr>
          <w:szCs w:val="22"/>
        </w:rPr>
        <w:fldChar w:fldCharType="begin"/>
      </w:r>
      <w:r w:rsidR="00293611">
        <w:instrText xml:space="preserve"> XE "</w:instrText>
      </w:r>
      <w:r w:rsidR="00293611" w:rsidRPr="00CD56BD">
        <w:rPr>
          <w:szCs w:val="22"/>
        </w:rPr>
        <w:instrText>failure to take a required minimum distribution</w:instrText>
      </w:r>
      <w:r w:rsidR="00293611">
        <w:instrText xml:space="preserve">" </w:instrText>
      </w:r>
      <w:r w:rsidR="00A95039">
        <w:rPr>
          <w:szCs w:val="22"/>
        </w:rPr>
        <w:fldChar w:fldCharType="end"/>
      </w:r>
      <w:r>
        <w:rPr>
          <w:szCs w:val="22"/>
        </w:rPr>
        <w:t xml:space="preserve"> at least equal to the </w:t>
      </w:r>
      <w:r w:rsidR="006C5D6E">
        <w:rPr>
          <w:szCs w:val="22"/>
        </w:rPr>
        <w:t>R</w:t>
      </w:r>
      <w:r w:rsidR="00BE17CF">
        <w:rPr>
          <w:szCs w:val="22"/>
        </w:rPr>
        <w:t>M</w:t>
      </w:r>
      <w:r w:rsidR="006C5D6E">
        <w:rPr>
          <w:szCs w:val="22"/>
        </w:rPr>
        <w:t>D</w:t>
      </w:r>
      <w:r>
        <w:rPr>
          <w:szCs w:val="22"/>
        </w:rPr>
        <w:t xml:space="preserve"> </w:t>
      </w:r>
      <w:r w:rsidRPr="000B485C">
        <w:rPr>
          <w:szCs w:val="22"/>
        </w:rPr>
        <w:t>is 50</w:t>
      </w:r>
      <w:r>
        <w:rPr>
          <w:szCs w:val="22"/>
        </w:rPr>
        <w:t xml:space="preserve"> percent</w:t>
      </w:r>
      <w:r w:rsidRPr="000B485C">
        <w:rPr>
          <w:szCs w:val="22"/>
        </w:rPr>
        <w:t xml:space="preserve"> of the insufficiency.</w:t>
      </w:r>
      <w:r w:rsidR="00297ACB">
        <w:rPr>
          <w:szCs w:val="22"/>
        </w:rPr>
        <w:t xml:space="preserve"> </w:t>
      </w:r>
      <w:r w:rsidRPr="000B485C">
        <w:rPr>
          <w:szCs w:val="22"/>
        </w:rPr>
        <w:t xml:space="preserve">So, if the </w:t>
      </w:r>
      <w:r w:rsidR="00E7667C">
        <w:rPr>
          <w:szCs w:val="22"/>
        </w:rPr>
        <w:t>employee</w:t>
      </w:r>
      <w:r w:rsidRPr="000B485C">
        <w:rPr>
          <w:szCs w:val="22"/>
        </w:rPr>
        <w:t xml:space="preserve"> was required to take a minimum distribution of $1</w:t>
      </w:r>
      <w:r>
        <w:rPr>
          <w:szCs w:val="22"/>
        </w:rPr>
        <w:t>5</w:t>
      </w:r>
      <w:r w:rsidRPr="000B485C">
        <w:rPr>
          <w:szCs w:val="22"/>
        </w:rPr>
        <w:t>,000 and</w:t>
      </w:r>
      <w:r>
        <w:rPr>
          <w:szCs w:val="22"/>
        </w:rPr>
        <w:t xml:space="preserve"> </w:t>
      </w:r>
      <w:r w:rsidRPr="000B485C">
        <w:rPr>
          <w:szCs w:val="22"/>
        </w:rPr>
        <w:t xml:space="preserve">only took $5,000, the </w:t>
      </w:r>
      <w:r>
        <w:rPr>
          <w:szCs w:val="22"/>
        </w:rPr>
        <w:t>failure to take the other</w:t>
      </w:r>
      <w:r w:rsidRPr="000B485C">
        <w:rPr>
          <w:szCs w:val="22"/>
        </w:rPr>
        <w:t xml:space="preserve"> $</w:t>
      </w:r>
      <w:r>
        <w:rPr>
          <w:szCs w:val="22"/>
        </w:rPr>
        <w:t>10</w:t>
      </w:r>
      <w:r w:rsidRPr="000B485C">
        <w:rPr>
          <w:szCs w:val="22"/>
        </w:rPr>
        <w:t xml:space="preserve">,000 </w:t>
      </w:r>
      <w:r>
        <w:rPr>
          <w:szCs w:val="22"/>
        </w:rPr>
        <w:t>would</w:t>
      </w:r>
      <w:r w:rsidRPr="000B485C">
        <w:rPr>
          <w:szCs w:val="22"/>
        </w:rPr>
        <w:t xml:space="preserve"> </w:t>
      </w:r>
      <w:r>
        <w:rPr>
          <w:szCs w:val="22"/>
        </w:rPr>
        <w:t xml:space="preserve">result in a </w:t>
      </w:r>
      <w:r w:rsidRPr="000B485C">
        <w:rPr>
          <w:szCs w:val="22"/>
        </w:rPr>
        <w:t xml:space="preserve">tax </w:t>
      </w:r>
      <w:r>
        <w:rPr>
          <w:szCs w:val="22"/>
        </w:rPr>
        <w:t>of</w:t>
      </w:r>
      <w:r w:rsidRPr="000B485C">
        <w:rPr>
          <w:szCs w:val="22"/>
        </w:rPr>
        <w:t xml:space="preserve"> </w:t>
      </w:r>
      <w:r>
        <w:rPr>
          <w:szCs w:val="22"/>
        </w:rPr>
        <w:t>$</w:t>
      </w:r>
      <w:r w:rsidRPr="000B485C">
        <w:rPr>
          <w:szCs w:val="22"/>
        </w:rPr>
        <w:t>5</w:t>
      </w:r>
      <w:r>
        <w:rPr>
          <w:szCs w:val="22"/>
        </w:rPr>
        <w:t>,</w:t>
      </w:r>
      <w:r w:rsidRPr="000B485C">
        <w:rPr>
          <w:szCs w:val="22"/>
        </w:rPr>
        <w:t>0</w:t>
      </w:r>
      <w:r>
        <w:rPr>
          <w:szCs w:val="22"/>
        </w:rPr>
        <w:t>00</w:t>
      </w:r>
      <w:r w:rsidRPr="000B485C">
        <w:rPr>
          <w:szCs w:val="22"/>
        </w:rPr>
        <w:t>.</w:t>
      </w:r>
    </w:p>
    <w:p w14:paraId="388F849D" w14:textId="77777777" w:rsidR="00C40B12" w:rsidRDefault="00C40B12" w:rsidP="00862936">
      <w:pPr>
        <w:spacing w:before="120"/>
        <w:rPr>
          <w:szCs w:val="22"/>
        </w:rPr>
      </w:pPr>
      <w:r>
        <w:rPr>
          <w:szCs w:val="22"/>
        </w:rPr>
        <w:t>The Uniform Lifetime Table</w:t>
      </w:r>
      <w:r w:rsidR="00A95039">
        <w:rPr>
          <w:szCs w:val="22"/>
        </w:rPr>
        <w:fldChar w:fldCharType="begin"/>
      </w:r>
      <w:r w:rsidR="00293611">
        <w:instrText xml:space="preserve"> XE "</w:instrText>
      </w:r>
      <w:r w:rsidR="00293611" w:rsidRPr="00CD56BD">
        <w:rPr>
          <w:szCs w:val="22"/>
        </w:rPr>
        <w:instrText>Uniform Lifetime Table</w:instrText>
      </w:r>
      <w:r w:rsidR="00293611">
        <w:instrText xml:space="preserve">" </w:instrText>
      </w:r>
      <w:r w:rsidR="00A95039">
        <w:rPr>
          <w:szCs w:val="22"/>
        </w:rPr>
        <w:fldChar w:fldCharType="end"/>
      </w:r>
      <w:r>
        <w:rPr>
          <w:szCs w:val="22"/>
        </w:rPr>
        <w:t xml:space="preserve"> governing </w:t>
      </w:r>
      <w:r w:rsidR="006C5D6E">
        <w:rPr>
          <w:szCs w:val="22"/>
        </w:rPr>
        <w:t>R</w:t>
      </w:r>
      <w:r w:rsidR="00D17804">
        <w:rPr>
          <w:szCs w:val="22"/>
        </w:rPr>
        <w:t>M</w:t>
      </w:r>
      <w:r w:rsidR="006C5D6E">
        <w:rPr>
          <w:szCs w:val="22"/>
        </w:rPr>
        <w:t>D</w:t>
      </w:r>
      <w:r>
        <w:rPr>
          <w:szCs w:val="22"/>
        </w:rPr>
        <w:t>s is as follows: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56"/>
        <w:gridCol w:w="1492"/>
        <w:gridCol w:w="1320"/>
        <w:gridCol w:w="6"/>
        <w:gridCol w:w="1534"/>
        <w:gridCol w:w="1320"/>
        <w:gridCol w:w="1540"/>
      </w:tblGrid>
      <w:tr w:rsidR="001C3753" w:rsidRPr="006D389B" w14:paraId="36EA657F" w14:textId="77777777" w:rsidTr="006D389B">
        <w:trPr>
          <w:trHeight w:val="258"/>
          <w:jc w:val="center"/>
        </w:trPr>
        <w:tc>
          <w:tcPr>
            <w:tcW w:w="8468" w:type="dxa"/>
            <w:gridSpan w:val="7"/>
            <w:tcBorders>
              <w:top w:val="single" w:sz="12" w:space="0" w:color="auto"/>
              <w:left w:val="single" w:sz="12" w:space="0" w:color="auto"/>
              <w:bottom w:val="single" w:sz="12" w:space="0" w:color="auto"/>
              <w:right w:val="single" w:sz="12" w:space="0" w:color="auto"/>
              <w:tl2br w:val="nil"/>
              <w:tr2bl w:val="nil"/>
            </w:tcBorders>
            <w:shd w:val="clear" w:color="auto" w:fill="E3F4FF"/>
          </w:tcPr>
          <w:p w14:paraId="74DF55C5" w14:textId="77777777" w:rsidR="001C3753" w:rsidRPr="001C3753" w:rsidRDefault="00F06597" w:rsidP="001C3753">
            <w:pPr>
              <w:pStyle w:val="WTableHeaderChar"/>
            </w:pPr>
            <w:r>
              <w:rPr>
                <w:b w:val="0"/>
              </w:rPr>
              <w:br w:type="page"/>
            </w:r>
            <w:r w:rsidR="001C3753" w:rsidRPr="009C4A7D">
              <w:t>Uniform Lifetime Table</w:t>
            </w:r>
            <w:r w:rsidR="00A95039">
              <w:fldChar w:fldCharType="begin"/>
            </w:r>
            <w:r w:rsidR="00293611">
              <w:instrText xml:space="preserve"> XE "</w:instrText>
            </w:r>
            <w:r w:rsidR="00293611" w:rsidRPr="006D389B">
              <w:rPr>
                <w:szCs w:val="22"/>
              </w:rPr>
              <w:instrText>Uniform Lifetime Table</w:instrText>
            </w:r>
            <w:r w:rsidR="00293611">
              <w:instrText xml:space="preserve">" </w:instrText>
            </w:r>
            <w:r w:rsidR="00A95039">
              <w:fldChar w:fldCharType="end"/>
            </w:r>
          </w:p>
        </w:tc>
      </w:tr>
      <w:tr w:rsidR="001C3753" w:rsidRPr="006D389B" w14:paraId="1A806B56" w14:textId="77777777" w:rsidTr="006D389B">
        <w:trPr>
          <w:trHeight w:val="438"/>
          <w:jc w:val="center"/>
        </w:trPr>
        <w:tc>
          <w:tcPr>
            <w:tcW w:w="1256" w:type="dxa"/>
            <w:tcBorders>
              <w:bottom w:val="single" w:sz="6" w:space="0" w:color="auto"/>
              <w:right w:val="single" w:sz="6" w:space="0" w:color="auto"/>
            </w:tcBorders>
          </w:tcPr>
          <w:p w14:paraId="59448796" w14:textId="77777777" w:rsidR="001C3753" w:rsidRPr="009C4A7D" w:rsidRDefault="001C3753" w:rsidP="001C3753">
            <w:pPr>
              <w:pStyle w:val="wTableSections"/>
            </w:pPr>
            <w:r w:rsidRPr="009C4A7D">
              <w:t>Age of</w:t>
            </w:r>
            <w:r>
              <w:br/>
            </w:r>
            <w:r w:rsidRPr="009C4A7D">
              <w:t>Employee</w:t>
            </w:r>
          </w:p>
        </w:tc>
        <w:tc>
          <w:tcPr>
            <w:tcW w:w="1492" w:type="dxa"/>
            <w:tcBorders>
              <w:left w:val="single" w:sz="6" w:space="0" w:color="auto"/>
              <w:bottom w:val="single" w:sz="6" w:space="0" w:color="auto"/>
              <w:right w:val="single" w:sz="6" w:space="0" w:color="auto"/>
            </w:tcBorders>
          </w:tcPr>
          <w:p w14:paraId="35126627" w14:textId="77777777" w:rsidR="001C3753" w:rsidRPr="009C4A7D" w:rsidRDefault="001C3753" w:rsidP="001C3753">
            <w:pPr>
              <w:pStyle w:val="wTableSections"/>
            </w:pPr>
            <w:r w:rsidRPr="009C4A7D">
              <w:t>Distribution</w:t>
            </w:r>
            <w:r>
              <w:br/>
            </w:r>
            <w:r w:rsidRPr="009C4A7D">
              <w:t>Period</w:t>
            </w:r>
          </w:p>
        </w:tc>
        <w:tc>
          <w:tcPr>
            <w:tcW w:w="1320" w:type="dxa"/>
            <w:tcBorders>
              <w:left w:val="single" w:sz="6" w:space="0" w:color="auto"/>
              <w:bottom w:val="single" w:sz="6" w:space="0" w:color="auto"/>
              <w:right w:val="single" w:sz="6" w:space="0" w:color="auto"/>
            </w:tcBorders>
          </w:tcPr>
          <w:p w14:paraId="1DE5A5C9" w14:textId="77777777" w:rsidR="001C3753" w:rsidRPr="009C4A7D" w:rsidRDefault="001C3753" w:rsidP="001C3753">
            <w:pPr>
              <w:pStyle w:val="wTableSections"/>
            </w:pPr>
            <w:r w:rsidRPr="009C4A7D">
              <w:t>Age of</w:t>
            </w:r>
            <w:r>
              <w:br/>
            </w:r>
            <w:r w:rsidRPr="009C4A7D">
              <w:t>Employee</w:t>
            </w:r>
          </w:p>
        </w:tc>
        <w:tc>
          <w:tcPr>
            <w:tcW w:w="1540" w:type="dxa"/>
            <w:gridSpan w:val="2"/>
            <w:tcBorders>
              <w:left w:val="single" w:sz="6" w:space="0" w:color="auto"/>
              <w:bottom w:val="single" w:sz="6" w:space="0" w:color="auto"/>
              <w:right w:val="single" w:sz="6" w:space="0" w:color="auto"/>
            </w:tcBorders>
          </w:tcPr>
          <w:p w14:paraId="0E15CBAA" w14:textId="77777777" w:rsidR="001C3753" w:rsidRPr="009C4A7D" w:rsidRDefault="001C3753" w:rsidP="001C3753">
            <w:pPr>
              <w:pStyle w:val="wTableSections"/>
            </w:pPr>
            <w:r w:rsidRPr="009C4A7D">
              <w:t>Distribution</w:t>
            </w:r>
            <w:r>
              <w:br/>
            </w:r>
            <w:r w:rsidRPr="009C4A7D">
              <w:t>Period</w:t>
            </w:r>
          </w:p>
        </w:tc>
        <w:tc>
          <w:tcPr>
            <w:tcW w:w="1320" w:type="dxa"/>
            <w:tcBorders>
              <w:left w:val="single" w:sz="6" w:space="0" w:color="auto"/>
              <w:bottom w:val="single" w:sz="6" w:space="0" w:color="auto"/>
              <w:right w:val="single" w:sz="6" w:space="0" w:color="auto"/>
            </w:tcBorders>
          </w:tcPr>
          <w:p w14:paraId="753302B6" w14:textId="77777777" w:rsidR="001C3753" w:rsidRPr="009C4A7D" w:rsidRDefault="001C3753" w:rsidP="001C3753">
            <w:pPr>
              <w:pStyle w:val="wTableSections"/>
            </w:pPr>
            <w:r w:rsidRPr="009C4A7D">
              <w:t>Age of</w:t>
            </w:r>
            <w:r>
              <w:br/>
            </w:r>
            <w:r w:rsidRPr="009C4A7D">
              <w:t>Employee</w:t>
            </w:r>
          </w:p>
        </w:tc>
        <w:tc>
          <w:tcPr>
            <w:tcW w:w="1540" w:type="dxa"/>
            <w:tcBorders>
              <w:left w:val="single" w:sz="6" w:space="0" w:color="auto"/>
              <w:bottom w:val="single" w:sz="6" w:space="0" w:color="auto"/>
            </w:tcBorders>
          </w:tcPr>
          <w:p w14:paraId="40FBE4AC" w14:textId="77777777" w:rsidR="001C3753" w:rsidRPr="009C4A7D" w:rsidRDefault="001C3753" w:rsidP="001C3753">
            <w:pPr>
              <w:pStyle w:val="wTableSections"/>
            </w:pPr>
            <w:r w:rsidRPr="009C4A7D">
              <w:t>Distribution</w:t>
            </w:r>
            <w:r>
              <w:br/>
            </w:r>
            <w:r w:rsidRPr="009C4A7D">
              <w:t>Period</w:t>
            </w:r>
          </w:p>
        </w:tc>
      </w:tr>
      <w:tr w:rsidR="00CD702C" w:rsidRPr="006D389B" w14:paraId="5DCCB07B" w14:textId="77777777" w:rsidTr="006D389B">
        <w:trPr>
          <w:jc w:val="center"/>
        </w:trPr>
        <w:tc>
          <w:tcPr>
            <w:tcW w:w="1256" w:type="dxa"/>
            <w:tcBorders>
              <w:top w:val="single" w:sz="6" w:space="0" w:color="auto"/>
              <w:bottom w:val="single" w:sz="6" w:space="0" w:color="auto"/>
              <w:right w:val="single" w:sz="6" w:space="0" w:color="auto"/>
            </w:tcBorders>
          </w:tcPr>
          <w:p w14:paraId="4BA27558" w14:textId="77777777" w:rsidR="00CD702C" w:rsidRPr="00CD702C" w:rsidRDefault="00CD702C" w:rsidP="006D389B">
            <w:pPr>
              <w:pStyle w:val="wTableNormal"/>
              <w:jc w:val="center"/>
            </w:pPr>
            <w:r w:rsidRPr="00CD702C">
              <w:t>70</w:t>
            </w:r>
          </w:p>
        </w:tc>
        <w:tc>
          <w:tcPr>
            <w:tcW w:w="1492" w:type="dxa"/>
            <w:tcBorders>
              <w:top w:val="single" w:sz="6" w:space="0" w:color="auto"/>
              <w:left w:val="single" w:sz="6" w:space="0" w:color="auto"/>
              <w:bottom w:val="single" w:sz="6" w:space="0" w:color="auto"/>
              <w:right w:val="single" w:sz="6" w:space="0" w:color="auto"/>
            </w:tcBorders>
          </w:tcPr>
          <w:p w14:paraId="327C862A" w14:textId="77777777" w:rsidR="00CD702C" w:rsidRPr="00CD702C" w:rsidRDefault="00CD702C" w:rsidP="006D389B">
            <w:pPr>
              <w:pStyle w:val="wTableNormal"/>
              <w:jc w:val="center"/>
            </w:pPr>
            <w:r w:rsidRPr="00CD702C">
              <w:t>27.4</w:t>
            </w:r>
          </w:p>
        </w:tc>
        <w:tc>
          <w:tcPr>
            <w:tcW w:w="1326" w:type="dxa"/>
            <w:gridSpan w:val="2"/>
            <w:tcBorders>
              <w:top w:val="single" w:sz="6" w:space="0" w:color="auto"/>
              <w:left w:val="single" w:sz="6" w:space="0" w:color="auto"/>
              <w:bottom w:val="single" w:sz="6" w:space="0" w:color="auto"/>
              <w:right w:val="single" w:sz="6" w:space="0" w:color="auto"/>
            </w:tcBorders>
          </w:tcPr>
          <w:p w14:paraId="6E33C0E3" w14:textId="77777777" w:rsidR="00CD702C" w:rsidRPr="00CD702C" w:rsidRDefault="00CD702C" w:rsidP="006D389B">
            <w:pPr>
              <w:pStyle w:val="wTableNormal"/>
              <w:jc w:val="center"/>
            </w:pPr>
            <w:r w:rsidRPr="00CD702C">
              <w:t>86</w:t>
            </w:r>
          </w:p>
        </w:tc>
        <w:tc>
          <w:tcPr>
            <w:tcW w:w="1534" w:type="dxa"/>
            <w:tcBorders>
              <w:top w:val="single" w:sz="6" w:space="0" w:color="auto"/>
              <w:left w:val="single" w:sz="6" w:space="0" w:color="auto"/>
              <w:bottom w:val="single" w:sz="6" w:space="0" w:color="auto"/>
              <w:right w:val="single" w:sz="6" w:space="0" w:color="auto"/>
            </w:tcBorders>
          </w:tcPr>
          <w:p w14:paraId="527BB72E" w14:textId="77777777" w:rsidR="00CD702C" w:rsidRPr="00CD702C" w:rsidRDefault="00CD702C" w:rsidP="006D389B">
            <w:pPr>
              <w:pStyle w:val="wTableNormal"/>
              <w:jc w:val="center"/>
            </w:pPr>
            <w:r w:rsidRPr="00CD702C">
              <w:t>14.1</w:t>
            </w:r>
          </w:p>
        </w:tc>
        <w:tc>
          <w:tcPr>
            <w:tcW w:w="1320" w:type="dxa"/>
            <w:tcBorders>
              <w:top w:val="single" w:sz="6" w:space="0" w:color="auto"/>
              <w:left w:val="single" w:sz="6" w:space="0" w:color="auto"/>
              <w:bottom w:val="single" w:sz="6" w:space="0" w:color="auto"/>
              <w:right w:val="single" w:sz="6" w:space="0" w:color="auto"/>
            </w:tcBorders>
          </w:tcPr>
          <w:p w14:paraId="6F2F3D25" w14:textId="77777777" w:rsidR="00CD702C" w:rsidRPr="00CD702C" w:rsidRDefault="00CD702C" w:rsidP="006D389B">
            <w:pPr>
              <w:pStyle w:val="wTableNormal"/>
              <w:jc w:val="center"/>
            </w:pPr>
            <w:r w:rsidRPr="00CD702C">
              <w:t>101</w:t>
            </w:r>
          </w:p>
        </w:tc>
        <w:tc>
          <w:tcPr>
            <w:tcW w:w="1540" w:type="dxa"/>
            <w:tcBorders>
              <w:top w:val="single" w:sz="6" w:space="0" w:color="auto"/>
              <w:left w:val="single" w:sz="6" w:space="0" w:color="auto"/>
              <w:bottom w:val="single" w:sz="6" w:space="0" w:color="auto"/>
            </w:tcBorders>
          </w:tcPr>
          <w:p w14:paraId="0249A1B1" w14:textId="77777777" w:rsidR="00CD702C" w:rsidRPr="00CD702C" w:rsidRDefault="00CD702C" w:rsidP="006D389B">
            <w:pPr>
              <w:pStyle w:val="wTableNormal"/>
              <w:jc w:val="center"/>
            </w:pPr>
            <w:r w:rsidRPr="00CD702C">
              <w:t>5.9</w:t>
            </w:r>
          </w:p>
        </w:tc>
      </w:tr>
      <w:tr w:rsidR="00CD702C" w:rsidRPr="006D389B" w14:paraId="2F922FD4" w14:textId="77777777" w:rsidTr="006D389B">
        <w:trPr>
          <w:jc w:val="center"/>
        </w:trPr>
        <w:tc>
          <w:tcPr>
            <w:tcW w:w="1256" w:type="dxa"/>
            <w:tcBorders>
              <w:top w:val="single" w:sz="6" w:space="0" w:color="auto"/>
              <w:bottom w:val="single" w:sz="6" w:space="0" w:color="auto"/>
              <w:right w:val="single" w:sz="6" w:space="0" w:color="auto"/>
            </w:tcBorders>
          </w:tcPr>
          <w:p w14:paraId="109B4CD5" w14:textId="77777777" w:rsidR="00CD702C" w:rsidRPr="00CD702C" w:rsidRDefault="00CD702C" w:rsidP="006D389B">
            <w:pPr>
              <w:pStyle w:val="wTableNormal"/>
              <w:jc w:val="center"/>
            </w:pPr>
            <w:r w:rsidRPr="00CD702C">
              <w:t>71</w:t>
            </w:r>
          </w:p>
        </w:tc>
        <w:tc>
          <w:tcPr>
            <w:tcW w:w="1492" w:type="dxa"/>
            <w:tcBorders>
              <w:top w:val="single" w:sz="6" w:space="0" w:color="auto"/>
              <w:left w:val="single" w:sz="6" w:space="0" w:color="auto"/>
              <w:bottom w:val="single" w:sz="6" w:space="0" w:color="auto"/>
              <w:right w:val="single" w:sz="6" w:space="0" w:color="auto"/>
            </w:tcBorders>
          </w:tcPr>
          <w:p w14:paraId="30DF524F" w14:textId="77777777" w:rsidR="00CD702C" w:rsidRPr="00CD702C" w:rsidRDefault="00CD702C" w:rsidP="006D389B">
            <w:pPr>
              <w:pStyle w:val="wTableNormal"/>
              <w:jc w:val="center"/>
            </w:pPr>
            <w:r w:rsidRPr="00CD702C">
              <w:t>26.5</w:t>
            </w:r>
          </w:p>
        </w:tc>
        <w:tc>
          <w:tcPr>
            <w:tcW w:w="1326" w:type="dxa"/>
            <w:gridSpan w:val="2"/>
            <w:tcBorders>
              <w:top w:val="single" w:sz="6" w:space="0" w:color="auto"/>
              <w:left w:val="single" w:sz="6" w:space="0" w:color="auto"/>
              <w:bottom w:val="single" w:sz="6" w:space="0" w:color="auto"/>
              <w:right w:val="single" w:sz="6" w:space="0" w:color="auto"/>
            </w:tcBorders>
          </w:tcPr>
          <w:p w14:paraId="02656CC1" w14:textId="77777777" w:rsidR="00CD702C" w:rsidRPr="00CD702C" w:rsidRDefault="00CD702C" w:rsidP="006D389B">
            <w:pPr>
              <w:pStyle w:val="wTableNormal"/>
              <w:jc w:val="center"/>
            </w:pPr>
            <w:r w:rsidRPr="00CD702C">
              <w:t>87</w:t>
            </w:r>
          </w:p>
        </w:tc>
        <w:tc>
          <w:tcPr>
            <w:tcW w:w="1534" w:type="dxa"/>
            <w:tcBorders>
              <w:top w:val="single" w:sz="6" w:space="0" w:color="auto"/>
              <w:left w:val="single" w:sz="6" w:space="0" w:color="auto"/>
              <w:bottom w:val="single" w:sz="6" w:space="0" w:color="auto"/>
              <w:right w:val="single" w:sz="6" w:space="0" w:color="auto"/>
            </w:tcBorders>
          </w:tcPr>
          <w:p w14:paraId="0809E99B" w14:textId="77777777" w:rsidR="00CD702C" w:rsidRPr="00CD702C" w:rsidRDefault="00CD702C" w:rsidP="006D389B">
            <w:pPr>
              <w:pStyle w:val="wTableNormal"/>
              <w:jc w:val="center"/>
            </w:pPr>
            <w:r w:rsidRPr="00CD702C">
              <w:t>13.4</w:t>
            </w:r>
          </w:p>
        </w:tc>
        <w:tc>
          <w:tcPr>
            <w:tcW w:w="1320" w:type="dxa"/>
            <w:tcBorders>
              <w:top w:val="single" w:sz="6" w:space="0" w:color="auto"/>
              <w:left w:val="single" w:sz="6" w:space="0" w:color="auto"/>
              <w:bottom w:val="single" w:sz="6" w:space="0" w:color="auto"/>
              <w:right w:val="single" w:sz="6" w:space="0" w:color="auto"/>
            </w:tcBorders>
          </w:tcPr>
          <w:p w14:paraId="7F538958" w14:textId="77777777" w:rsidR="00CD702C" w:rsidRPr="00CD702C" w:rsidRDefault="00CD702C" w:rsidP="006D389B">
            <w:pPr>
              <w:pStyle w:val="wTableNormal"/>
              <w:jc w:val="center"/>
            </w:pPr>
            <w:r w:rsidRPr="00CD702C">
              <w:t>102</w:t>
            </w:r>
          </w:p>
        </w:tc>
        <w:tc>
          <w:tcPr>
            <w:tcW w:w="1540" w:type="dxa"/>
            <w:tcBorders>
              <w:top w:val="single" w:sz="6" w:space="0" w:color="auto"/>
              <w:left w:val="single" w:sz="6" w:space="0" w:color="auto"/>
              <w:bottom w:val="single" w:sz="6" w:space="0" w:color="auto"/>
            </w:tcBorders>
          </w:tcPr>
          <w:p w14:paraId="42C8E1FB" w14:textId="77777777" w:rsidR="00CD702C" w:rsidRPr="00CD702C" w:rsidRDefault="00CD702C" w:rsidP="006D389B">
            <w:pPr>
              <w:pStyle w:val="wTableNormal"/>
              <w:jc w:val="center"/>
            </w:pPr>
            <w:r w:rsidRPr="00CD702C">
              <w:t>5.5</w:t>
            </w:r>
          </w:p>
        </w:tc>
      </w:tr>
      <w:tr w:rsidR="00CD702C" w:rsidRPr="006D389B" w14:paraId="5AD4E218" w14:textId="77777777" w:rsidTr="006D389B">
        <w:trPr>
          <w:jc w:val="center"/>
        </w:trPr>
        <w:tc>
          <w:tcPr>
            <w:tcW w:w="1256" w:type="dxa"/>
            <w:tcBorders>
              <w:top w:val="single" w:sz="6" w:space="0" w:color="auto"/>
              <w:bottom w:val="single" w:sz="6" w:space="0" w:color="auto"/>
              <w:right w:val="single" w:sz="6" w:space="0" w:color="auto"/>
            </w:tcBorders>
          </w:tcPr>
          <w:p w14:paraId="1641A319" w14:textId="77777777" w:rsidR="00CD702C" w:rsidRPr="00CD702C" w:rsidRDefault="00CD702C" w:rsidP="006D389B">
            <w:pPr>
              <w:pStyle w:val="wTableNormal"/>
              <w:jc w:val="center"/>
            </w:pPr>
            <w:r w:rsidRPr="00CD702C">
              <w:t>72</w:t>
            </w:r>
          </w:p>
        </w:tc>
        <w:tc>
          <w:tcPr>
            <w:tcW w:w="1492" w:type="dxa"/>
            <w:tcBorders>
              <w:top w:val="single" w:sz="6" w:space="0" w:color="auto"/>
              <w:left w:val="single" w:sz="6" w:space="0" w:color="auto"/>
              <w:bottom w:val="single" w:sz="6" w:space="0" w:color="auto"/>
              <w:right w:val="single" w:sz="6" w:space="0" w:color="auto"/>
            </w:tcBorders>
          </w:tcPr>
          <w:p w14:paraId="6F1AA9B5" w14:textId="77777777" w:rsidR="00CD702C" w:rsidRPr="00CD702C" w:rsidRDefault="00CD702C" w:rsidP="006D389B">
            <w:pPr>
              <w:pStyle w:val="wTableNormal"/>
              <w:jc w:val="center"/>
            </w:pPr>
            <w:r w:rsidRPr="00CD702C">
              <w:t>25.6</w:t>
            </w:r>
          </w:p>
        </w:tc>
        <w:tc>
          <w:tcPr>
            <w:tcW w:w="1326" w:type="dxa"/>
            <w:gridSpan w:val="2"/>
            <w:tcBorders>
              <w:top w:val="single" w:sz="6" w:space="0" w:color="auto"/>
              <w:left w:val="single" w:sz="6" w:space="0" w:color="auto"/>
              <w:bottom w:val="single" w:sz="6" w:space="0" w:color="auto"/>
              <w:right w:val="single" w:sz="6" w:space="0" w:color="auto"/>
            </w:tcBorders>
          </w:tcPr>
          <w:p w14:paraId="6CED645C" w14:textId="77777777" w:rsidR="00CD702C" w:rsidRPr="00CD702C" w:rsidRDefault="00CD702C" w:rsidP="006D389B">
            <w:pPr>
              <w:pStyle w:val="wTableNormal"/>
              <w:jc w:val="center"/>
            </w:pPr>
            <w:r w:rsidRPr="00CD702C">
              <w:t>88</w:t>
            </w:r>
          </w:p>
        </w:tc>
        <w:tc>
          <w:tcPr>
            <w:tcW w:w="1534" w:type="dxa"/>
            <w:tcBorders>
              <w:top w:val="single" w:sz="6" w:space="0" w:color="auto"/>
              <w:left w:val="single" w:sz="6" w:space="0" w:color="auto"/>
              <w:bottom w:val="single" w:sz="6" w:space="0" w:color="auto"/>
              <w:right w:val="single" w:sz="6" w:space="0" w:color="auto"/>
            </w:tcBorders>
          </w:tcPr>
          <w:p w14:paraId="6A3014EE" w14:textId="77777777" w:rsidR="00CD702C" w:rsidRPr="00CD702C" w:rsidRDefault="00CD702C" w:rsidP="006D389B">
            <w:pPr>
              <w:pStyle w:val="wTableNormal"/>
              <w:jc w:val="center"/>
            </w:pPr>
            <w:r w:rsidRPr="00CD702C">
              <w:t>12.7</w:t>
            </w:r>
          </w:p>
        </w:tc>
        <w:tc>
          <w:tcPr>
            <w:tcW w:w="1320" w:type="dxa"/>
            <w:tcBorders>
              <w:top w:val="single" w:sz="6" w:space="0" w:color="auto"/>
              <w:left w:val="single" w:sz="6" w:space="0" w:color="auto"/>
              <w:bottom w:val="single" w:sz="6" w:space="0" w:color="auto"/>
              <w:right w:val="single" w:sz="6" w:space="0" w:color="auto"/>
            </w:tcBorders>
          </w:tcPr>
          <w:p w14:paraId="519FE3DF" w14:textId="77777777" w:rsidR="00CD702C" w:rsidRPr="00CD702C" w:rsidRDefault="00CD702C" w:rsidP="006D389B">
            <w:pPr>
              <w:pStyle w:val="wTableNormal"/>
              <w:jc w:val="center"/>
            </w:pPr>
            <w:r w:rsidRPr="00CD702C">
              <w:t>103</w:t>
            </w:r>
          </w:p>
        </w:tc>
        <w:tc>
          <w:tcPr>
            <w:tcW w:w="1540" w:type="dxa"/>
            <w:tcBorders>
              <w:top w:val="single" w:sz="6" w:space="0" w:color="auto"/>
              <w:left w:val="single" w:sz="6" w:space="0" w:color="auto"/>
              <w:bottom w:val="single" w:sz="6" w:space="0" w:color="auto"/>
            </w:tcBorders>
          </w:tcPr>
          <w:p w14:paraId="7DF5D40D" w14:textId="77777777" w:rsidR="00CD702C" w:rsidRPr="00CD702C" w:rsidRDefault="00CD702C" w:rsidP="006D389B">
            <w:pPr>
              <w:pStyle w:val="wTableNormal"/>
              <w:jc w:val="center"/>
            </w:pPr>
            <w:r w:rsidRPr="00CD702C">
              <w:t>5.2</w:t>
            </w:r>
          </w:p>
        </w:tc>
      </w:tr>
      <w:tr w:rsidR="00CD702C" w:rsidRPr="006D389B" w14:paraId="5ABD4379" w14:textId="77777777" w:rsidTr="006D389B">
        <w:trPr>
          <w:jc w:val="center"/>
        </w:trPr>
        <w:tc>
          <w:tcPr>
            <w:tcW w:w="1256" w:type="dxa"/>
            <w:tcBorders>
              <w:top w:val="single" w:sz="6" w:space="0" w:color="auto"/>
              <w:bottom w:val="single" w:sz="6" w:space="0" w:color="auto"/>
              <w:right w:val="single" w:sz="6" w:space="0" w:color="auto"/>
            </w:tcBorders>
          </w:tcPr>
          <w:p w14:paraId="33F297CC" w14:textId="77777777" w:rsidR="00CD702C" w:rsidRPr="00CD702C" w:rsidRDefault="00CD702C" w:rsidP="006D389B">
            <w:pPr>
              <w:pStyle w:val="wTableNormal"/>
              <w:jc w:val="center"/>
            </w:pPr>
            <w:r w:rsidRPr="00CD702C">
              <w:t>73</w:t>
            </w:r>
          </w:p>
        </w:tc>
        <w:tc>
          <w:tcPr>
            <w:tcW w:w="1492" w:type="dxa"/>
            <w:tcBorders>
              <w:top w:val="single" w:sz="6" w:space="0" w:color="auto"/>
              <w:left w:val="single" w:sz="6" w:space="0" w:color="auto"/>
              <w:bottom w:val="single" w:sz="6" w:space="0" w:color="auto"/>
              <w:right w:val="single" w:sz="6" w:space="0" w:color="auto"/>
            </w:tcBorders>
          </w:tcPr>
          <w:p w14:paraId="7CB64838" w14:textId="77777777" w:rsidR="00CD702C" w:rsidRPr="00CD702C" w:rsidRDefault="00CD702C" w:rsidP="006D389B">
            <w:pPr>
              <w:pStyle w:val="wTableNormal"/>
              <w:jc w:val="center"/>
            </w:pPr>
            <w:r w:rsidRPr="00CD702C">
              <w:t>24.7</w:t>
            </w:r>
          </w:p>
        </w:tc>
        <w:tc>
          <w:tcPr>
            <w:tcW w:w="1326" w:type="dxa"/>
            <w:gridSpan w:val="2"/>
            <w:tcBorders>
              <w:top w:val="single" w:sz="6" w:space="0" w:color="auto"/>
              <w:left w:val="single" w:sz="6" w:space="0" w:color="auto"/>
              <w:bottom w:val="single" w:sz="6" w:space="0" w:color="auto"/>
              <w:right w:val="single" w:sz="6" w:space="0" w:color="auto"/>
            </w:tcBorders>
          </w:tcPr>
          <w:p w14:paraId="77FD87BF" w14:textId="77777777" w:rsidR="00CD702C" w:rsidRPr="00CD702C" w:rsidRDefault="00CD702C" w:rsidP="006D389B">
            <w:pPr>
              <w:pStyle w:val="wTableNormal"/>
              <w:jc w:val="center"/>
            </w:pPr>
            <w:r w:rsidRPr="00CD702C">
              <w:t>89</w:t>
            </w:r>
          </w:p>
        </w:tc>
        <w:tc>
          <w:tcPr>
            <w:tcW w:w="1534" w:type="dxa"/>
            <w:tcBorders>
              <w:top w:val="single" w:sz="6" w:space="0" w:color="auto"/>
              <w:left w:val="single" w:sz="6" w:space="0" w:color="auto"/>
              <w:bottom w:val="single" w:sz="6" w:space="0" w:color="auto"/>
              <w:right w:val="single" w:sz="6" w:space="0" w:color="auto"/>
            </w:tcBorders>
          </w:tcPr>
          <w:p w14:paraId="544DB0E2" w14:textId="77777777" w:rsidR="00CD702C" w:rsidRPr="00CD702C" w:rsidRDefault="00CD702C" w:rsidP="006D389B">
            <w:pPr>
              <w:pStyle w:val="wTableNormal"/>
              <w:jc w:val="center"/>
            </w:pPr>
            <w:r w:rsidRPr="00CD702C">
              <w:t>12.0</w:t>
            </w:r>
          </w:p>
        </w:tc>
        <w:tc>
          <w:tcPr>
            <w:tcW w:w="1320" w:type="dxa"/>
            <w:tcBorders>
              <w:top w:val="single" w:sz="6" w:space="0" w:color="auto"/>
              <w:left w:val="single" w:sz="6" w:space="0" w:color="auto"/>
              <w:bottom w:val="single" w:sz="6" w:space="0" w:color="auto"/>
              <w:right w:val="single" w:sz="6" w:space="0" w:color="auto"/>
            </w:tcBorders>
          </w:tcPr>
          <w:p w14:paraId="4387A9BD" w14:textId="77777777" w:rsidR="00CD702C" w:rsidRPr="00CD702C" w:rsidRDefault="00CD702C" w:rsidP="006D389B">
            <w:pPr>
              <w:pStyle w:val="wTableNormal"/>
              <w:jc w:val="center"/>
            </w:pPr>
            <w:r w:rsidRPr="00CD702C">
              <w:t>104</w:t>
            </w:r>
          </w:p>
        </w:tc>
        <w:tc>
          <w:tcPr>
            <w:tcW w:w="1540" w:type="dxa"/>
            <w:tcBorders>
              <w:top w:val="single" w:sz="6" w:space="0" w:color="auto"/>
              <w:left w:val="single" w:sz="6" w:space="0" w:color="auto"/>
              <w:bottom w:val="single" w:sz="6" w:space="0" w:color="auto"/>
            </w:tcBorders>
          </w:tcPr>
          <w:p w14:paraId="4687971E" w14:textId="77777777" w:rsidR="00CD702C" w:rsidRPr="00CD702C" w:rsidRDefault="00CD702C" w:rsidP="006D389B">
            <w:pPr>
              <w:pStyle w:val="wTableNormal"/>
              <w:jc w:val="center"/>
            </w:pPr>
            <w:r w:rsidRPr="00CD702C">
              <w:t>4.9</w:t>
            </w:r>
          </w:p>
        </w:tc>
      </w:tr>
      <w:tr w:rsidR="00CD702C" w:rsidRPr="006D389B" w14:paraId="64C898C2" w14:textId="77777777" w:rsidTr="006D389B">
        <w:trPr>
          <w:jc w:val="center"/>
        </w:trPr>
        <w:tc>
          <w:tcPr>
            <w:tcW w:w="1256" w:type="dxa"/>
            <w:tcBorders>
              <w:top w:val="single" w:sz="6" w:space="0" w:color="auto"/>
              <w:bottom w:val="single" w:sz="6" w:space="0" w:color="auto"/>
              <w:right w:val="single" w:sz="6" w:space="0" w:color="auto"/>
            </w:tcBorders>
          </w:tcPr>
          <w:p w14:paraId="29D2502D" w14:textId="77777777" w:rsidR="00CD702C" w:rsidRPr="00CD702C" w:rsidRDefault="00CD702C" w:rsidP="006D389B">
            <w:pPr>
              <w:pStyle w:val="wTableNormal"/>
              <w:jc w:val="center"/>
            </w:pPr>
            <w:r w:rsidRPr="00CD702C">
              <w:t>74</w:t>
            </w:r>
          </w:p>
        </w:tc>
        <w:tc>
          <w:tcPr>
            <w:tcW w:w="1492" w:type="dxa"/>
            <w:tcBorders>
              <w:top w:val="single" w:sz="6" w:space="0" w:color="auto"/>
              <w:left w:val="single" w:sz="6" w:space="0" w:color="auto"/>
              <w:bottom w:val="single" w:sz="6" w:space="0" w:color="auto"/>
              <w:right w:val="single" w:sz="6" w:space="0" w:color="auto"/>
            </w:tcBorders>
          </w:tcPr>
          <w:p w14:paraId="045A9250" w14:textId="77777777" w:rsidR="00CD702C" w:rsidRPr="00CD702C" w:rsidRDefault="00CD702C" w:rsidP="006D389B">
            <w:pPr>
              <w:pStyle w:val="wTableNormal"/>
              <w:jc w:val="center"/>
            </w:pPr>
            <w:r w:rsidRPr="00CD702C">
              <w:t>23.8</w:t>
            </w:r>
          </w:p>
        </w:tc>
        <w:tc>
          <w:tcPr>
            <w:tcW w:w="1326" w:type="dxa"/>
            <w:gridSpan w:val="2"/>
            <w:tcBorders>
              <w:top w:val="single" w:sz="6" w:space="0" w:color="auto"/>
              <w:left w:val="single" w:sz="6" w:space="0" w:color="auto"/>
              <w:bottom w:val="single" w:sz="6" w:space="0" w:color="auto"/>
              <w:right w:val="single" w:sz="6" w:space="0" w:color="auto"/>
            </w:tcBorders>
          </w:tcPr>
          <w:p w14:paraId="21ABB0E0" w14:textId="77777777" w:rsidR="00CD702C" w:rsidRPr="00CD702C" w:rsidRDefault="00CD702C" w:rsidP="006D389B">
            <w:pPr>
              <w:pStyle w:val="wTableNormal"/>
              <w:jc w:val="center"/>
            </w:pPr>
            <w:r w:rsidRPr="00CD702C">
              <w:t>90</w:t>
            </w:r>
          </w:p>
        </w:tc>
        <w:tc>
          <w:tcPr>
            <w:tcW w:w="1534" w:type="dxa"/>
            <w:tcBorders>
              <w:top w:val="single" w:sz="6" w:space="0" w:color="auto"/>
              <w:left w:val="single" w:sz="6" w:space="0" w:color="auto"/>
              <w:bottom w:val="single" w:sz="6" w:space="0" w:color="auto"/>
              <w:right w:val="single" w:sz="6" w:space="0" w:color="auto"/>
            </w:tcBorders>
          </w:tcPr>
          <w:p w14:paraId="52AD427D" w14:textId="77777777" w:rsidR="00CD702C" w:rsidRPr="00CD702C" w:rsidRDefault="00CD702C" w:rsidP="006D389B">
            <w:pPr>
              <w:pStyle w:val="wTableNormal"/>
              <w:jc w:val="center"/>
            </w:pPr>
            <w:r w:rsidRPr="00CD702C">
              <w:t>11.4</w:t>
            </w:r>
          </w:p>
        </w:tc>
        <w:tc>
          <w:tcPr>
            <w:tcW w:w="1320" w:type="dxa"/>
            <w:tcBorders>
              <w:top w:val="single" w:sz="6" w:space="0" w:color="auto"/>
              <w:left w:val="single" w:sz="6" w:space="0" w:color="auto"/>
              <w:bottom w:val="single" w:sz="6" w:space="0" w:color="auto"/>
              <w:right w:val="single" w:sz="6" w:space="0" w:color="auto"/>
            </w:tcBorders>
          </w:tcPr>
          <w:p w14:paraId="5BDC8954" w14:textId="77777777" w:rsidR="00CD702C" w:rsidRPr="00CD702C" w:rsidRDefault="00CD702C" w:rsidP="006D389B">
            <w:pPr>
              <w:pStyle w:val="wTableNormal"/>
              <w:jc w:val="center"/>
            </w:pPr>
            <w:r w:rsidRPr="00CD702C">
              <w:t>105</w:t>
            </w:r>
          </w:p>
        </w:tc>
        <w:tc>
          <w:tcPr>
            <w:tcW w:w="1540" w:type="dxa"/>
            <w:tcBorders>
              <w:top w:val="single" w:sz="6" w:space="0" w:color="auto"/>
              <w:left w:val="single" w:sz="6" w:space="0" w:color="auto"/>
              <w:bottom w:val="single" w:sz="6" w:space="0" w:color="auto"/>
            </w:tcBorders>
          </w:tcPr>
          <w:p w14:paraId="368D4624" w14:textId="77777777" w:rsidR="00CD702C" w:rsidRPr="00CD702C" w:rsidRDefault="00CD702C" w:rsidP="006D389B">
            <w:pPr>
              <w:pStyle w:val="wTableNormal"/>
              <w:jc w:val="center"/>
            </w:pPr>
            <w:r w:rsidRPr="00CD702C">
              <w:t>4.5</w:t>
            </w:r>
          </w:p>
        </w:tc>
      </w:tr>
      <w:tr w:rsidR="00CD702C" w:rsidRPr="006D389B" w14:paraId="44CA2D5E" w14:textId="77777777" w:rsidTr="006D389B">
        <w:trPr>
          <w:jc w:val="center"/>
        </w:trPr>
        <w:tc>
          <w:tcPr>
            <w:tcW w:w="1256" w:type="dxa"/>
            <w:tcBorders>
              <w:top w:val="single" w:sz="6" w:space="0" w:color="auto"/>
              <w:bottom w:val="single" w:sz="6" w:space="0" w:color="auto"/>
              <w:right w:val="single" w:sz="6" w:space="0" w:color="auto"/>
            </w:tcBorders>
          </w:tcPr>
          <w:p w14:paraId="7E9947D4" w14:textId="77777777" w:rsidR="00CD702C" w:rsidRPr="00CD702C" w:rsidRDefault="00CD702C" w:rsidP="006D389B">
            <w:pPr>
              <w:pStyle w:val="wTableNormal"/>
              <w:jc w:val="center"/>
            </w:pPr>
            <w:r w:rsidRPr="00CD702C">
              <w:t>75</w:t>
            </w:r>
          </w:p>
        </w:tc>
        <w:tc>
          <w:tcPr>
            <w:tcW w:w="1492" w:type="dxa"/>
            <w:tcBorders>
              <w:top w:val="single" w:sz="6" w:space="0" w:color="auto"/>
              <w:left w:val="single" w:sz="6" w:space="0" w:color="auto"/>
              <w:bottom w:val="single" w:sz="6" w:space="0" w:color="auto"/>
              <w:right w:val="single" w:sz="6" w:space="0" w:color="auto"/>
            </w:tcBorders>
          </w:tcPr>
          <w:p w14:paraId="59658BCC" w14:textId="77777777" w:rsidR="00CD702C" w:rsidRPr="00CD702C" w:rsidRDefault="00CD702C" w:rsidP="006D389B">
            <w:pPr>
              <w:pStyle w:val="wTableNormal"/>
              <w:jc w:val="center"/>
            </w:pPr>
            <w:r w:rsidRPr="00CD702C">
              <w:t>22.9</w:t>
            </w:r>
          </w:p>
        </w:tc>
        <w:tc>
          <w:tcPr>
            <w:tcW w:w="1326" w:type="dxa"/>
            <w:gridSpan w:val="2"/>
            <w:tcBorders>
              <w:top w:val="single" w:sz="6" w:space="0" w:color="auto"/>
              <w:left w:val="single" w:sz="6" w:space="0" w:color="auto"/>
              <w:bottom w:val="single" w:sz="6" w:space="0" w:color="auto"/>
              <w:right w:val="single" w:sz="6" w:space="0" w:color="auto"/>
            </w:tcBorders>
          </w:tcPr>
          <w:p w14:paraId="27B0EDA6" w14:textId="77777777" w:rsidR="00CD702C" w:rsidRPr="00CD702C" w:rsidRDefault="00CD702C" w:rsidP="006D389B">
            <w:pPr>
              <w:pStyle w:val="wTableNormal"/>
              <w:jc w:val="center"/>
            </w:pPr>
            <w:r w:rsidRPr="00CD702C">
              <w:t>91</w:t>
            </w:r>
          </w:p>
        </w:tc>
        <w:tc>
          <w:tcPr>
            <w:tcW w:w="1534" w:type="dxa"/>
            <w:tcBorders>
              <w:top w:val="single" w:sz="6" w:space="0" w:color="auto"/>
              <w:left w:val="single" w:sz="6" w:space="0" w:color="auto"/>
              <w:bottom w:val="single" w:sz="6" w:space="0" w:color="auto"/>
              <w:right w:val="single" w:sz="6" w:space="0" w:color="auto"/>
            </w:tcBorders>
          </w:tcPr>
          <w:p w14:paraId="4999B94B" w14:textId="77777777" w:rsidR="00CD702C" w:rsidRPr="00CD702C" w:rsidRDefault="00CD702C" w:rsidP="006D389B">
            <w:pPr>
              <w:pStyle w:val="wTableNormal"/>
              <w:jc w:val="center"/>
            </w:pPr>
            <w:r w:rsidRPr="00CD702C">
              <w:t>10.8</w:t>
            </w:r>
          </w:p>
        </w:tc>
        <w:tc>
          <w:tcPr>
            <w:tcW w:w="1320" w:type="dxa"/>
            <w:tcBorders>
              <w:top w:val="single" w:sz="6" w:space="0" w:color="auto"/>
              <w:left w:val="single" w:sz="6" w:space="0" w:color="auto"/>
              <w:bottom w:val="single" w:sz="6" w:space="0" w:color="auto"/>
              <w:right w:val="single" w:sz="6" w:space="0" w:color="auto"/>
            </w:tcBorders>
          </w:tcPr>
          <w:p w14:paraId="296650BB" w14:textId="77777777" w:rsidR="00CD702C" w:rsidRPr="00CD702C" w:rsidRDefault="00CD702C" w:rsidP="006D389B">
            <w:pPr>
              <w:pStyle w:val="wTableNormal"/>
              <w:jc w:val="center"/>
            </w:pPr>
            <w:r w:rsidRPr="00CD702C">
              <w:t>106</w:t>
            </w:r>
          </w:p>
        </w:tc>
        <w:tc>
          <w:tcPr>
            <w:tcW w:w="1540" w:type="dxa"/>
            <w:tcBorders>
              <w:top w:val="single" w:sz="6" w:space="0" w:color="auto"/>
              <w:left w:val="single" w:sz="6" w:space="0" w:color="auto"/>
              <w:bottom w:val="single" w:sz="6" w:space="0" w:color="auto"/>
            </w:tcBorders>
          </w:tcPr>
          <w:p w14:paraId="5533F1A5" w14:textId="77777777" w:rsidR="00CD702C" w:rsidRPr="00CD702C" w:rsidRDefault="00CD702C" w:rsidP="006D389B">
            <w:pPr>
              <w:pStyle w:val="wTableNormal"/>
              <w:jc w:val="center"/>
            </w:pPr>
            <w:r w:rsidRPr="00CD702C">
              <w:t>4.2</w:t>
            </w:r>
          </w:p>
        </w:tc>
      </w:tr>
      <w:tr w:rsidR="00CD702C" w:rsidRPr="006D389B" w14:paraId="0CEC10E6" w14:textId="77777777" w:rsidTr="006D389B">
        <w:trPr>
          <w:jc w:val="center"/>
        </w:trPr>
        <w:tc>
          <w:tcPr>
            <w:tcW w:w="1256" w:type="dxa"/>
            <w:tcBorders>
              <w:top w:val="single" w:sz="6" w:space="0" w:color="auto"/>
              <w:bottom w:val="single" w:sz="6" w:space="0" w:color="auto"/>
              <w:right w:val="single" w:sz="6" w:space="0" w:color="auto"/>
            </w:tcBorders>
          </w:tcPr>
          <w:p w14:paraId="1B3B549B" w14:textId="77777777" w:rsidR="00CD702C" w:rsidRPr="00CD702C" w:rsidRDefault="00CD702C" w:rsidP="006D389B">
            <w:pPr>
              <w:pStyle w:val="wTableNormal"/>
              <w:jc w:val="center"/>
            </w:pPr>
            <w:r w:rsidRPr="00CD702C">
              <w:t>76</w:t>
            </w:r>
          </w:p>
        </w:tc>
        <w:tc>
          <w:tcPr>
            <w:tcW w:w="1492" w:type="dxa"/>
            <w:tcBorders>
              <w:top w:val="single" w:sz="6" w:space="0" w:color="auto"/>
              <w:left w:val="single" w:sz="6" w:space="0" w:color="auto"/>
              <w:bottom w:val="single" w:sz="6" w:space="0" w:color="auto"/>
              <w:right w:val="single" w:sz="6" w:space="0" w:color="auto"/>
            </w:tcBorders>
          </w:tcPr>
          <w:p w14:paraId="4E296F89" w14:textId="77777777" w:rsidR="00CD702C" w:rsidRPr="00CD702C" w:rsidRDefault="00CD702C" w:rsidP="006D389B">
            <w:pPr>
              <w:pStyle w:val="wTableNormal"/>
              <w:jc w:val="center"/>
            </w:pPr>
            <w:r w:rsidRPr="00CD702C">
              <w:t>22.0</w:t>
            </w:r>
          </w:p>
        </w:tc>
        <w:tc>
          <w:tcPr>
            <w:tcW w:w="1326" w:type="dxa"/>
            <w:gridSpan w:val="2"/>
            <w:tcBorders>
              <w:top w:val="single" w:sz="6" w:space="0" w:color="auto"/>
              <w:left w:val="single" w:sz="6" w:space="0" w:color="auto"/>
              <w:bottom w:val="single" w:sz="6" w:space="0" w:color="auto"/>
              <w:right w:val="single" w:sz="6" w:space="0" w:color="auto"/>
            </w:tcBorders>
          </w:tcPr>
          <w:p w14:paraId="26A8C193" w14:textId="77777777" w:rsidR="00CD702C" w:rsidRPr="00CD702C" w:rsidRDefault="00CD702C" w:rsidP="006D389B">
            <w:pPr>
              <w:pStyle w:val="wTableNormal"/>
              <w:jc w:val="center"/>
            </w:pPr>
            <w:r w:rsidRPr="00CD702C">
              <w:t>92</w:t>
            </w:r>
          </w:p>
        </w:tc>
        <w:tc>
          <w:tcPr>
            <w:tcW w:w="1534" w:type="dxa"/>
            <w:tcBorders>
              <w:top w:val="single" w:sz="6" w:space="0" w:color="auto"/>
              <w:left w:val="single" w:sz="6" w:space="0" w:color="auto"/>
              <w:bottom w:val="single" w:sz="6" w:space="0" w:color="auto"/>
              <w:right w:val="single" w:sz="6" w:space="0" w:color="auto"/>
            </w:tcBorders>
          </w:tcPr>
          <w:p w14:paraId="3316DFF9" w14:textId="77777777" w:rsidR="00CD702C" w:rsidRPr="00CD702C" w:rsidRDefault="00CD702C" w:rsidP="006D389B">
            <w:pPr>
              <w:pStyle w:val="wTableNormal"/>
              <w:jc w:val="center"/>
            </w:pPr>
            <w:r w:rsidRPr="00CD702C">
              <w:t>10.2</w:t>
            </w:r>
          </w:p>
        </w:tc>
        <w:tc>
          <w:tcPr>
            <w:tcW w:w="1320" w:type="dxa"/>
            <w:tcBorders>
              <w:top w:val="single" w:sz="6" w:space="0" w:color="auto"/>
              <w:left w:val="single" w:sz="6" w:space="0" w:color="auto"/>
              <w:bottom w:val="single" w:sz="6" w:space="0" w:color="auto"/>
              <w:right w:val="single" w:sz="6" w:space="0" w:color="auto"/>
            </w:tcBorders>
          </w:tcPr>
          <w:p w14:paraId="0F9B1672" w14:textId="77777777" w:rsidR="00CD702C" w:rsidRPr="00CD702C" w:rsidRDefault="00CD702C" w:rsidP="006D389B">
            <w:pPr>
              <w:pStyle w:val="wTableNormal"/>
              <w:jc w:val="center"/>
            </w:pPr>
            <w:r w:rsidRPr="00CD702C">
              <w:t>107</w:t>
            </w:r>
          </w:p>
        </w:tc>
        <w:tc>
          <w:tcPr>
            <w:tcW w:w="1540" w:type="dxa"/>
            <w:tcBorders>
              <w:top w:val="single" w:sz="6" w:space="0" w:color="auto"/>
              <w:left w:val="single" w:sz="6" w:space="0" w:color="auto"/>
              <w:bottom w:val="single" w:sz="6" w:space="0" w:color="auto"/>
            </w:tcBorders>
          </w:tcPr>
          <w:p w14:paraId="4BB8D5BA" w14:textId="77777777" w:rsidR="00CD702C" w:rsidRPr="00CD702C" w:rsidRDefault="00CD702C" w:rsidP="006D389B">
            <w:pPr>
              <w:pStyle w:val="wTableNormal"/>
              <w:jc w:val="center"/>
            </w:pPr>
            <w:r w:rsidRPr="00CD702C">
              <w:t>3.9</w:t>
            </w:r>
          </w:p>
        </w:tc>
      </w:tr>
      <w:tr w:rsidR="00CD702C" w:rsidRPr="006D389B" w14:paraId="0E2DF5CA" w14:textId="77777777" w:rsidTr="006D389B">
        <w:trPr>
          <w:jc w:val="center"/>
        </w:trPr>
        <w:tc>
          <w:tcPr>
            <w:tcW w:w="1256" w:type="dxa"/>
            <w:tcBorders>
              <w:top w:val="single" w:sz="6" w:space="0" w:color="auto"/>
              <w:bottom w:val="single" w:sz="6" w:space="0" w:color="auto"/>
              <w:right w:val="single" w:sz="6" w:space="0" w:color="auto"/>
            </w:tcBorders>
          </w:tcPr>
          <w:p w14:paraId="5750F03D" w14:textId="77777777" w:rsidR="00CD702C" w:rsidRPr="00CD702C" w:rsidRDefault="00CD702C" w:rsidP="006D389B">
            <w:pPr>
              <w:pStyle w:val="wTableNormal"/>
              <w:jc w:val="center"/>
            </w:pPr>
            <w:r w:rsidRPr="00CD702C">
              <w:t>77</w:t>
            </w:r>
          </w:p>
        </w:tc>
        <w:tc>
          <w:tcPr>
            <w:tcW w:w="1492" w:type="dxa"/>
            <w:tcBorders>
              <w:top w:val="single" w:sz="6" w:space="0" w:color="auto"/>
              <w:left w:val="single" w:sz="6" w:space="0" w:color="auto"/>
              <w:bottom w:val="single" w:sz="6" w:space="0" w:color="auto"/>
              <w:right w:val="single" w:sz="6" w:space="0" w:color="auto"/>
            </w:tcBorders>
          </w:tcPr>
          <w:p w14:paraId="571D4633" w14:textId="77777777" w:rsidR="00CD702C" w:rsidRPr="00CD702C" w:rsidRDefault="00CD702C" w:rsidP="006D389B">
            <w:pPr>
              <w:pStyle w:val="wTableNormal"/>
              <w:jc w:val="center"/>
            </w:pPr>
            <w:r w:rsidRPr="00CD702C">
              <w:t>21.2</w:t>
            </w:r>
          </w:p>
        </w:tc>
        <w:tc>
          <w:tcPr>
            <w:tcW w:w="1326" w:type="dxa"/>
            <w:gridSpan w:val="2"/>
            <w:tcBorders>
              <w:top w:val="single" w:sz="6" w:space="0" w:color="auto"/>
              <w:left w:val="single" w:sz="6" w:space="0" w:color="auto"/>
              <w:bottom w:val="single" w:sz="6" w:space="0" w:color="auto"/>
              <w:right w:val="single" w:sz="6" w:space="0" w:color="auto"/>
            </w:tcBorders>
          </w:tcPr>
          <w:p w14:paraId="191AFDE7" w14:textId="77777777" w:rsidR="00CD702C" w:rsidRPr="00CD702C" w:rsidRDefault="00CD702C" w:rsidP="006D389B">
            <w:pPr>
              <w:pStyle w:val="wTableNormal"/>
              <w:jc w:val="center"/>
            </w:pPr>
            <w:r w:rsidRPr="00CD702C">
              <w:t>93</w:t>
            </w:r>
          </w:p>
        </w:tc>
        <w:tc>
          <w:tcPr>
            <w:tcW w:w="1534" w:type="dxa"/>
            <w:tcBorders>
              <w:top w:val="single" w:sz="6" w:space="0" w:color="auto"/>
              <w:left w:val="single" w:sz="6" w:space="0" w:color="auto"/>
              <w:bottom w:val="single" w:sz="6" w:space="0" w:color="auto"/>
              <w:right w:val="single" w:sz="6" w:space="0" w:color="auto"/>
            </w:tcBorders>
          </w:tcPr>
          <w:p w14:paraId="3B8B458F" w14:textId="77777777" w:rsidR="00CD702C" w:rsidRPr="00CD702C" w:rsidRDefault="00CD702C" w:rsidP="006D389B">
            <w:pPr>
              <w:pStyle w:val="wTableNormal"/>
              <w:jc w:val="center"/>
            </w:pPr>
            <w:r w:rsidRPr="00CD702C">
              <w:t>9.6</w:t>
            </w:r>
          </w:p>
        </w:tc>
        <w:tc>
          <w:tcPr>
            <w:tcW w:w="1320" w:type="dxa"/>
            <w:tcBorders>
              <w:top w:val="single" w:sz="6" w:space="0" w:color="auto"/>
              <w:left w:val="single" w:sz="6" w:space="0" w:color="auto"/>
              <w:bottom w:val="single" w:sz="6" w:space="0" w:color="auto"/>
              <w:right w:val="single" w:sz="6" w:space="0" w:color="auto"/>
            </w:tcBorders>
          </w:tcPr>
          <w:p w14:paraId="68F85317" w14:textId="77777777" w:rsidR="00CD702C" w:rsidRPr="00CD702C" w:rsidRDefault="00CD702C" w:rsidP="006D389B">
            <w:pPr>
              <w:pStyle w:val="wTableNormal"/>
              <w:jc w:val="center"/>
            </w:pPr>
            <w:r w:rsidRPr="00CD702C">
              <w:t>108</w:t>
            </w:r>
          </w:p>
        </w:tc>
        <w:tc>
          <w:tcPr>
            <w:tcW w:w="1540" w:type="dxa"/>
            <w:tcBorders>
              <w:top w:val="single" w:sz="6" w:space="0" w:color="auto"/>
              <w:left w:val="single" w:sz="6" w:space="0" w:color="auto"/>
              <w:bottom w:val="single" w:sz="6" w:space="0" w:color="auto"/>
            </w:tcBorders>
          </w:tcPr>
          <w:p w14:paraId="199898E3" w14:textId="77777777" w:rsidR="00CD702C" w:rsidRPr="00CD702C" w:rsidRDefault="00CD702C" w:rsidP="006D389B">
            <w:pPr>
              <w:pStyle w:val="wTableNormal"/>
              <w:jc w:val="center"/>
            </w:pPr>
            <w:r w:rsidRPr="00CD702C">
              <w:t>3.7</w:t>
            </w:r>
          </w:p>
        </w:tc>
      </w:tr>
      <w:tr w:rsidR="00CD702C" w:rsidRPr="006D389B" w14:paraId="2106EB2E" w14:textId="77777777" w:rsidTr="006D389B">
        <w:trPr>
          <w:jc w:val="center"/>
        </w:trPr>
        <w:tc>
          <w:tcPr>
            <w:tcW w:w="1256" w:type="dxa"/>
            <w:tcBorders>
              <w:top w:val="single" w:sz="6" w:space="0" w:color="auto"/>
              <w:bottom w:val="single" w:sz="6" w:space="0" w:color="auto"/>
              <w:right w:val="single" w:sz="6" w:space="0" w:color="auto"/>
            </w:tcBorders>
          </w:tcPr>
          <w:p w14:paraId="143AF823" w14:textId="77777777" w:rsidR="00CD702C" w:rsidRPr="00CD702C" w:rsidRDefault="00CD702C" w:rsidP="006D389B">
            <w:pPr>
              <w:pStyle w:val="wTableNormal"/>
              <w:jc w:val="center"/>
            </w:pPr>
            <w:r w:rsidRPr="00CD702C">
              <w:t>78</w:t>
            </w:r>
          </w:p>
        </w:tc>
        <w:tc>
          <w:tcPr>
            <w:tcW w:w="1492" w:type="dxa"/>
            <w:tcBorders>
              <w:top w:val="single" w:sz="6" w:space="0" w:color="auto"/>
              <w:left w:val="single" w:sz="6" w:space="0" w:color="auto"/>
              <w:bottom w:val="single" w:sz="6" w:space="0" w:color="auto"/>
              <w:right w:val="single" w:sz="6" w:space="0" w:color="auto"/>
            </w:tcBorders>
          </w:tcPr>
          <w:p w14:paraId="354E2192" w14:textId="77777777" w:rsidR="00CD702C" w:rsidRPr="00CD702C" w:rsidRDefault="00CD702C" w:rsidP="006D389B">
            <w:pPr>
              <w:pStyle w:val="wTableNormal"/>
              <w:jc w:val="center"/>
            </w:pPr>
            <w:r w:rsidRPr="00CD702C">
              <w:t>20.3</w:t>
            </w:r>
          </w:p>
        </w:tc>
        <w:tc>
          <w:tcPr>
            <w:tcW w:w="1326" w:type="dxa"/>
            <w:gridSpan w:val="2"/>
            <w:tcBorders>
              <w:top w:val="single" w:sz="6" w:space="0" w:color="auto"/>
              <w:left w:val="single" w:sz="6" w:space="0" w:color="auto"/>
              <w:bottom w:val="single" w:sz="6" w:space="0" w:color="auto"/>
              <w:right w:val="single" w:sz="6" w:space="0" w:color="auto"/>
            </w:tcBorders>
          </w:tcPr>
          <w:p w14:paraId="116AA320" w14:textId="77777777" w:rsidR="00CD702C" w:rsidRPr="00CD702C" w:rsidRDefault="00CD702C" w:rsidP="006D389B">
            <w:pPr>
              <w:pStyle w:val="wTableNormal"/>
              <w:jc w:val="center"/>
            </w:pPr>
            <w:r w:rsidRPr="00CD702C">
              <w:t>94</w:t>
            </w:r>
          </w:p>
        </w:tc>
        <w:tc>
          <w:tcPr>
            <w:tcW w:w="1534" w:type="dxa"/>
            <w:tcBorders>
              <w:top w:val="single" w:sz="6" w:space="0" w:color="auto"/>
              <w:left w:val="single" w:sz="6" w:space="0" w:color="auto"/>
              <w:bottom w:val="single" w:sz="6" w:space="0" w:color="auto"/>
              <w:right w:val="single" w:sz="6" w:space="0" w:color="auto"/>
            </w:tcBorders>
          </w:tcPr>
          <w:p w14:paraId="4300C83C" w14:textId="77777777" w:rsidR="00CD702C" w:rsidRPr="00CD702C" w:rsidRDefault="00CD702C" w:rsidP="006D389B">
            <w:pPr>
              <w:pStyle w:val="wTableNormal"/>
              <w:jc w:val="center"/>
            </w:pPr>
            <w:r w:rsidRPr="00CD702C">
              <w:t>9.1</w:t>
            </w:r>
          </w:p>
        </w:tc>
        <w:tc>
          <w:tcPr>
            <w:tcW w:w="1320" w:type="dxa"/>
            <w:tcBorders>
              <w:top w:val="single" w:sz="6" w:space="0" w:color="auto"/>
              <w:left w:val="single" w:sz="6" w:space="0" w:color="auto"/>
              <w:bottom w:val="single" w:sz="6" w:space="0" w:color="auto"/>
              <w:right w:val="single" w:sz="6" w:space="0" w:color="auto"/>
            </w:tcBorders>
          </w:tcPr>
          <w:p w14:paraId="100E75D3" w14:textId="77777777" w:rsidR="00CD702C" w:rsidRPr="00CD702C" w:rsidRDefault="00CD702C" w:rsidP="006D389B">
            <w:pPr>
              <w:pStyle w:val="wTableNormal"/>
              <w:jc w:val="center"/>
            </w:pPr>
            <w:r w:rsidRPr="00CD702C">
              <w:t>109</w:t>
            </w:r>
          </w:p>
        </w:tc>
        <w:tc>
          <w:tcPr>
            <w:tcW w:w="1540" w:type="dxa"/>
            <w:tcBorders>
              <w:top w:val="single" w:sz="6" w:space="0" w:color="auto"/>
              <w:left w:val="single" w:sz="6" w:space="0" w:color="auto"/>
              <w:bottom w:val="single" w:sz="6" w:space="0" w:color="auto"/>
            </w:tcBorders>
          </w:tcPr>
          <w:p w14:paraId="15CAD2D5" w14:textId="77777777" w:rsidR="00CD702C" w:rsidRPr="00CD702C" w:rsidRDefault="00CD702C" w:rsidP="006D389B">
            <w:pPr>
              <w:pStyle w:val="wTableNormal"/>
              <w:jc w:val="center"/>
            </w:pPr>
            <w:r w:rsidRPr="00CD702C">
              <w:t>3.4</w:t>
            </w:r>
          </w:p>
        </w:tc>
      </w:tr>
      <w:tr w:rsidR="00CD702C" w:rsidRPr="006D389B" w14:paraId="254FA0C5" w14:textId="77777777" w:rsidTr="006D389B">
        <w:trPr>
          <w:jc w:val="center"/>
        </w:trPr>
        <w:tc>
          <w:tcPr>
            <w:tcW w:w="1256" w:type="dxa"/>
            <w:tcBorders>
              <w:top w:val="single" w:sz="6" w:space="0" w:color="auto"/>
              <w:bottom w:val="single" w:sz="6" w:space="0" w:color="auto"/>
              <w:right w:val="single" w:sz="6" w:space="0" w:color="auto"/>
            </w:tcBorders>
          </w:tcPr>
          <w:p w14:paraId="21790739" w14:textId="77777777" w:rsidR="00CD702C" w:rsidRPr="00CD702C" w:rsidRDefault="00CD702C" w:rsidP="006D389B">
            <w:pPr>
              <w:pStyle w:val="wTableNormal"/>
              <w:jc w:val="center"/>
            </w:pPr>
            <w:r w:rsidRPr="00CD702C">
              <w:t>79</w:t>
            </w:r>
          </w:p>
        </w:tc>
        <w:tc>
          <w:tcPr>
            <w:tcW w:w="1492" w:type="dxa"/>
            <w:tcBorders>
              <w:top w:val="single" w:sz="6" w:space="0" w:color="auto"/>
              <w:left w:val="single" w:sz="6" w:space="0" w:color="auto"/>
              <w:bottom w:val="single" w:sz="6" w:space="0" w:color="auto"/>
              <w:right w:val="single" w:sz="6" w:space="0" w:color="auto"/>
            </w:tcBorders>
          </w:tcPr>
          <w:p w14:paraId="3B16E26F" w14:textId="77777777" w:rsidR="00CD702C" w:rsidRPr="00CD702C" w:rsidRDefault="00CD702C" w:rsidP="006D389B">
            <w:pPr>
              <w:pStyle w:val="wTableNormal"/>
              <w:jc w:val="center"/>
            </w:pPr>
            <w:r w:rsidRPr="00CD702C">
              <w:t>19.5</w:t>
            </w:r>
          </w:p>
        </w:tc>
        <w:tc>
          <w:tcPr>
            <w:tcW w:w="1326" w:type="dxa"/>
            <w:gridSpan w:val="2"/>
            <w:tcBorders>
              <w:top w:val="single" w:sz="6" w:space="0" w:color="auto"/>
              <w:left w:val="single" w:sz="6" w:space="0" w:color="auto"/>
              <w:bottom w:val="single" w:sz="6" w:space="0" w:color="auto"/>
              <w:right w:val="single" w:sz="6" w:space="0" w:color="auto"/>
            </w:tcBorders>
          </w:tcPr>
          <w:p w14:paraId="77F99629" w14:textId="77777777" w:rsidR="00CD702C" w:rsidRPr="00CD702C" w:rsidRDefault="00CD702C" w:rsidP="006D389B">
            <w:pPr>
              <w:pStyle w:val="wTableNormal"/>
              <w:jc w:val="center"/>
            </w:pPr>
            <w:r w:rsidRPr="00CD702C">
              <w:t>95</w:t>
            </w:r>
          </w:p>
        </w:tc>
        <w:tc>
          <w:tcPr>
            <w:tcW w:w="1534" w:type="dxa"/>
            <w:tcBorders>
              <w:top w:val="single" w:sz="6" w:space="0" w:color="auto"/>
              <w:left w:val="single" w:sz="6" w:space="0" w:color="auto"/>
              <w:bottom w:val="single" w:sz="6" w:space="0" w:color="auto"/>
              <w:right w:val="single" w:sz="6" w:space="0" w:color="auto"/>
            </w:tcBorders>
          </w:tcPr>
          <w:p w14:paraId="3D029AEE" w14:textId="77777777" w:rsidR="00CD702C" w:rsidRPr="00CD702C" w:rsidRDefault="00CD702C" w:rsidP="006D389B">
            <w:pPr>
              <w:pStyle w:val="wTableNormal"/>
              <w:jc w:val="center"/>
            </w:pPr>
            <w:r w:rsidRPr="00CD702C">
              <w:t>8.6</w:t>
            </w:r>
          </w:p>
        </w:tc>
        <w:tc>
          <w:tcPr>
            <w:tcW w:w="1320" w:type="dxa"/>
            <w:tcBorders>
              <w:top w:val="single" w:sz="6" w:space="0" w:color="auto"/>
              <w:left w:val="single" w:sz="6" w:space="0" w:color="auto"/>
              <w:bottom w:val="single" w:sz="6" w:space="0" w:color="auto"/>
              <w:right w:val="single" w:sz="6" w:space="0" w:color="auto"/>
            </w:tcBorders>
          </w:tcPr>
          <w:p w14:paraId="27FE7601" w14:textId="77777777" w:rsidR="00CD702C" w:rsidRPr="00CD702C" w:rsidRDefault="00CD702C" w:rsidP="006D389B">
            <w:pPr>
              <w:pStyle w:val="wTableNormal"/>
              <w:jc w:val="center"/>
            </w:pPr>
            <w:r w:rsidRPr="00CD702C">
              <w:t>110</w:t>
            </w:r>
          </w:p>
        </w:tc>
        <w:tc>
          <w:tcPr>
            <w:tcW w:w="1540" w:type="dxa"/>
            <w:tcBorders>
              <w:top w:val="single" w:sz="6" w:space="0" w:color="auto"/>
              <w:left w:val="single" w:sz="6" w:space="0" w:color="auto"/>
              <w:bottom w:val="single" w:sz="6" w:space="0" w:color="auto"/>
            </w:tcBorders>
          </w:tcPr>
          <w:p w14:paraId="6801BA29" w14:textId="77777777" w:rsidR="00CD702C" w:rsidRPr="00CD702C" w:rsidRDefault="00CD702C" w:rsidP="006D389B">
            <w:pPr>
              <w:pStyle w:val="wTableNormal"/>
              <w:jc w:val="center"/>
            </w:pPr>
            <w:r w:rsidRPr="00CD702C">
              <w:t>3.1</w:t>
            </w:r>
          </w:p>
        </w:tc>
      </w:tr>
      <w:tr w:rsidR="00CD702C" w:rsidRPr="006D389B" w14:paraId="36DC75BE" w14:textId="77777777" w:rsidTr="006D389B">
        <w:trPr>
          <w:jc w:val="center"/>
        </w:trPr>
        <w:tc>
          <w:tcPr>
            <w:tcW w:w="1256" w:type="dxa"/>
            <w:tcBorders>
              <w:top w:val="single" w:sz="6" w:space="0" w:color="auto"/>
              <w:bottom w:val="single" w:sz="6" w:space="0" w:color="auto"/>
              <w:right w:val="single" w:sz="6" w:space="0" w:color="auto"/>
            </w:tcBorders>
          </w:tcPr>
          <w:p w14:paraId="7AD7724A" w14:textId="77777777" w:rsidR="00CD702C" w:rsidRPr="00CD702C" w:rsidRDefault="00CD702C" w:rsidP="006D389B">
            <w:pPr>
              <w:pStyle w:val="wTableNormal"/>
              <w:jc w:val="center"/>
            </w:pPr>
            <w:r w:rsidRPr="00CD702C">
              <w:t>80</w:t>
            </w:r>
          </w:p>
        </w:tc>
        <w:tc>
          <w:tcPr>
            <w:tcW w:w="1492" w:type="dxa"/>
            <w:tcBorders>
              <w:top w:val="single" w:sz="6" w:space="0" w:color="auto"/>
              <w:left w:val="single" w:sz="6" w:space="0" w:color="auto"/>
              <w:bottom w:val="single" w:sz="6" w:space="0" w:color="auto"/>
              <w:right w:val="single" w:sz="6" w:space="0" w:color="auto"/>
            </w:tcBorders>
          </w:tcPr>
          <w:p w14:paraId="36488116" w14:textId="77777777" w:rsidR="00CD702C" w:rsidRPr="00CD702C" w:rsidRDefault="00CD702C" w:rsidP="006D389B">
            <w:pPr>
              <w:pStyle w:val="wTableNormal"/>
              <w:jc w:val="center"/>
            </w:pPr>
            <w:r w:rsidRPr="00CD702C">
              <w:t>18.7</w:t>
            </w:r>
          </w:p>
        </w:tc>
        <w:tc>
          <w:tcPr>
            <w:tcW w:w="1326" w:type="dxa"/>
            <w:gridSpan w:val="2"/>
            <w:tcBorders>
              <w:top w:val="single" w:sz="6" w:space="0" w:color="auto"/>
              <w:left w:val="single" w:sz="6" w:space="0" w:color="auto"/>
              <w:bottom w:val="single" w:sz="6" w:space="0" w:color="auto"/>
              <w:right w:val="single" w:sz="6" w:space="0" w:color="auto"/>
            </w:tcBorders>
          </w:tcPr>
          <w:p w14:paraId="168CFABE" w14:textId="77777777" w:rsidR="00CD702C" w:rsidRPr="00CD702C" w:rsidRDefault="00CD702C" w:rsidP="006D389B">
            <w:pPr>
              <w:pStyle w:val="wTableNormal"/>
              <w:jc w:val="center"/>
            </w:pPr>
            <w:r w:rsidRPr="00CD702C">
              <w:t>96</w:t>
            </w:r>
          </w:p>
        </w:tc>
        <w:tc>
          <w:tcPr>
            <w:tcW w:w="1534" w:type="dxa"/>
            <w:tcBorders>
              <w:top w:val="single" w:sz="6" w:space="0" w:color="auto"/>
              <w:left w:val="single" w:sz="6" w:space="0" w:color="auto"/>
              <w:bottom w:val="single" w:sz="6" w:space="0" w:color="auto"/>
              <w:right w:val="single" w:sz="6" w:space="0" w:color="auto"/>
            </w:tcBorders>
          </w:tcPr>
          <w:p w14:paraId="397C0505" w14:textId="77777777" w:rsidR="00CD702C" w:rsidRPr="00CD702C" w:rsidRDefault="00CD702C" w:rsidP="006D389B">
            <w:pPr>
              <w:pStyle w:val="wTableNormal"/>
              <w:jc w:val="center"/>
            </w:pPr>
            <w:r w:rsidRPr="00CD702C">
              <w:t>8.1</w:t>
            </w:r>
          </w:p>
        </w:tc>
        <w:tc>
          <w:tcPr>
            <w:tcW w:w="1320" w:type="dxa"/>
            <w:tcBorders>
              <w:top w:val="single" w:sz="6" w:space="0" w:color="auto"/>
              <w:left w:val="single" w:sz="6" w:space="0" w:color="auto"/>
              <w:bottom w:val="single" w:sz="6" w:space="0" w:color="auto"/>
              <w:right w:val="single" w:sz="6" w:space="0" w:color="auto"/>
            </w:tcBorders>
          </w:tcPr>
          <w:p w14:paraId="65D95AEB" w14:textId="77777777" w:rsidR="00CD702C" w:rsidRPr="00CD702C" w:rsidRDefault="00CD702C" w:rsidP="006D389B">
            <w:pPr>
              <w:pStyle w:val="wTableNormal"/>
              <w:jc w:val="center"/>
            </w:pPr>
            <w:r w:rsidRPr="00CD702C">
              <w:t>111</w:t>
            </w:r>
          </w:p>
        </w:tc>
        <w:tc>
          <w:tcPr>
            <w:tcW w:w="1540" w:type="dxa"/>
            <w:tcBorders>
              <w:top w:val="single" w:sz="6" w:space="0" w:color="auto"/>
              <w:left w:val="single" w:sz="6" w:space="0" w:color="auto"/>
              <w:bottom w:val="single" w:sz="6" w:space="0" w:color="auto"/>
            </w:tcBorders>
          </w:tcPr>
          <w:p w14:paraId="5E81DBDC" w14:textId="77777777" w:rsidR="00CD702C" w:rsidRPr="00CD702C" w:rsidRDefault="00CD702C" w:rsidP="006D389B">
            <w:pPr>
              <w:pStyle w:val="wTableNormal"/>
              <w:jc w:val="center"/>
            </w:pPr>
            <w:r w:rsidRPr="00CD702C">
              <w:t>2.9</w:t>
            </w:r>
          </w:p>
        </w:tc>
      </w:tr>
      <w:tr w:rsidR="00CD702C" w:rsidRPr="006D389B" w14:paraId="11856CF3" w14:textId="77777777" w:rsidTr="006D389B">
        <w:trPr>
          <w:jc w:val="center"/>
        </w:trPr>
        <w:tc>
          <w:tcPr>
            <w:tcW w:w="1256" w:type="dxa"/>
            <w:tcBorders>
              <w:top w:val="single" w:sz="6" w:space="0" w:color="auto"/>
              <w:bottom w:val="single" w:sz="6" w:space="0" w:color="auto"/>
              <w:right w:val="single" w:sz="6" w:space="0" w:color="auto"/>
            </w:tcBorders>
          </w:tcPr>
          <w:p w14:paraId="429DC64D" w14:textId="77777777" w:rsidR="00CD702C" w:rsidRPr="00CD702C" w:rsidRDefault="00CD702C" w:rsidP="006D389B">
            <w:pPr>
              <w:pStyle w:val="wTableNormal"/>
              <w:jc w:val="center"/>
            </w:pPr>
            <w:r w:rsidRPr="00CD702C">
              <w:t>81</w:t>
            </w:r>
          </w:p>
        </w:tc>
        <w:tc>
          <w:tcPr>
            <w:tcW w:w="1492" w:type="dxa"/>
            <w:tcBorders>
              <w:top w:val="single" w:sz="6" w:space="0" w:color="auto"/>
              <w:left w:val="single" w:sz="6" w:space="0" w:color="auto"/>
              <w:bottom w:val="single" w:sz="6" w:space="0" w:color="auto"/>
              <w:right w:val="single" w:sz="6" w:space="0" w:color="auto"/>
            </w:tcBorders>
          </w:tcPr>
          <w:p w14:paraId="39CD4E5E" w14:textId="77777777" w:rsidR="00CD702C" w:rsidRPr="00CD702C" w:rsidRDefault="00CD702C" w:rsidP="006D389B">
            <w:pPr>
              <w:pStyle w:val="wTableNormal"/>
              <w:jc w:val="center"/>
            </w:pPr>
            <w:r w:rsidRPr="00CD702C">
              <w:t>17.9</w:t>
            </w:r>
          </w:p>
        </w:tc>
        <w:tc>
          <w:tcPr>
            <w:tcW w:w="1326" w:type="dxa"/>
            <w:gridSpan w:val="2"/>
            <w:tcBorders>
              <w:top w:val="single" w:sz="6" w:space="0" w:color="auto"/>
              <w:left w:val="single" w:sz="6" w:space="0" w:color="auto"/>
              <w:bottom w:val="single" w:sz="6" w:space="0" w:color="auto"/>
              <w:right w:val="single" w:sz="6" w:space="0" w:color="auto"/>
            </w:tcBorders>
          </w:tcPr>
          <w:p w14:paraId="14443030" w14:textId="77777777" w:rsidR="00CD702C" w:rsidRPr="00CD702C" w:rsidRDefault="00CD702C" w:rsidP="006D389B">
            <w:pPr>
              <w:pStyle w:val="wTableNormal"/>
              <w:jc w:val="center"/>
            </w:pPr>
            <w:r w:rsidRPr="00CD702C">
              <w:t>97</w:t>
            </w:r>
          </w:p>
        </w:tc>
        <w:tc>
          <w:tcPr>
            <w:tcW w:w="1534" w:type="dxa"/>
            <w:tcBorders>
              <w:top w:val="single" w:sz="6" w:space="0" w:color="auto"/>
              <w:left w:val="single" w:sz="6" w:space="0" w:color="auto"/>
              <w:bottom w:val="single" w:sz="6" w:space="0" w:color="auto"/>
              <w:right w:val="single" w:sz="6" w:space="0" w:color="auto"/>
            </w:tcBorders>
          </w:tcPr>
          <w:p w14:paraId="16F95238" w14:textId="77777777" w:rsidR="00CD702C" w:rsidRPr="00CD702C" w:rsidRDefault="00CD702C" w:rsidP="006D389B">
            <w:pPr>
              <w:pStyle w:val="wTableNormal"/>
              <w:jc w:val="center"/>
            </w:pPr>
            <w:r w:rsidRPr="00CD702C">
              <w:t>7.6</w:t>
            </w:r>
          </w:p>
        </w:tc>
        <w:tc>
          <w:tcPr>
            <w:tcW w:w="1320" w:type="dxa"/>
            <w:tcBorders>
              <w:top w:val="single" w:sz="6" w:space="0" w:color="auto"/>
              <w:left w:val="single" w:sz="6" w:space="0" w:color="auto"/>
              <w:bottom w:val="single" w:sz="6" w:space="0" w:color="auto"/>
              <w:right w:val="single" w:sz="6" w:space="0" w:color="auto"/>
            </w:tcBorders>
          </w:tcPr>
          <w:p w14:paraId="75D3EB55" w14:textId="77777777" w:rsidR="00CD702C" w:rsidRPr="00CD702C" w:rsidRDefault="00CD702C" w:rsidP="006D389B">
            <w:pPr>
              <w:pStyle w:val="wTableNormal"/>
              <w:jc w:val="center"/>
            </w:pPr>
            <w:r w:rsidRPr="00CD702C">
              <w:t>112</w:t>
            </w:r>
          </w:p>
        </w:tc>
        <w:tc>
          <w:tcPr>
            <w:tcW w:w="1540" w:type="dxa"/>
            <w:tcBorders>
              <w:top w:val="single" w:sz="6" w:space="0" w:color="auto"/>
              <w:left w:val="single" w:sz="6" w:space="0" w:color="auto"/>
              <w:bottom w:val="single" w:sz="6" w:space="0" w:color="auto"/>
            </w:tcBorders>
          </w:tcPr>
          <w:p w14:paraId="5DF81689" w14:textId="77777777" w:rsidR="00CD702C" w:rsidRPr="00CD702C" w:rsidRDefault="00CD702C" w:rsidP="006D389B">
            <w:pPr>
              <w:pStyle w:val="wTableNormal"/>
              <w:jc w:val="center"/>
            </w:pPr>
            <w:r w:rsidRPr="00CD702C">
              <w:t>2.6</w:t>
            </w:r>
          </w:p>
        </w:tc>
      </w:tr>
      <w:tr w:rsidR="00CD702C" w:rsidRPr="006D389B" w14:paraId="6D486596" w14:textId="77777777" w:rsidTr="006D389B">
        <w:trPr>
          <w:jc w:val="center"/>
        </w:trPr>
        <w:tc>
          <w:tcPr>
            <w:tcW w:w="1256" w:type="dxa"/>
            <w:tcBorders>
              <w:top w:val="single" w:sz="6" w:space="0" w:color="auto"/>
              <w:bottom w:val="single" w:sz="6" w:space="0" w:color="auto"/>
              <w:right w:val="single" w:sz="6" w:space="0" w:color="auto"/>
            </w:tcBorders>
          </w:tcPr>
          <w:p w14:paraId="46B15E53" w14:textId="77777777" w:rsidR="00CD702C" w:rsidRPr="00CD702C" w:rsidRDefault="00CD702C" w:rsidP="006D389B">
            <w:pPr>
              <w:pStyle w:val="wTableNormal"/>
              <w:jc w:val="center"/>
            </w:pPr>
            <w:r w:rsidRPr="00CD702C">
              <w:t>82</w:t>
            </w:r>
          </w:p>
        </w:tc>
        <w:tc>
          <w:tcPr>
            <w:tcW w:w="1492" w:type="dxa"/>
            <w:tcBorders>
              <w:top w:val="single" w:sz="6" w:space="0" w:color="auto"/>
              <w:left w:val="single" w:sz="6" w:space="0" w:color="auto"/>
              <w:bottom w:val="single" w:sz="6" w:space="0" w:color="auto"/>
              <w:right w:val="single" w:sz="6" w:space="0" w:color="auto"/>
            </w:tcBorders>
          </w:tcPr>
          <w:p w14:paraId="1D7C6AE6" w14:textId="77777777" w:rsidR="00CD702C" w:rsidRPr="00CD702C" w:rsidRDefault="00CD702C" w:rsidP="006D389B">
            <w:pPr>
              <w:pStyle w:val="wTableNormal"/>
              <w:jc w:val="center"/>
            </w:pPr>
            <w:r w:rsidRPr="00CD702C">
              <w:t>17.1</w:t>
            </w:r>
          </w:p>
        </w:tc>
        <w:tc>
          <w:tcPr>
            <w:tcW w:w="1326" w:type="dxa"/>
            <w:gridSpan w:val="2"/>
            <w:tcBorders>
              <w:top w:val="single" w:sz="6" w:space="0" w:color="auto"/>
              <w:left w:val="single" w:sz="6" w:space="0" w:color="auto"/>
              <w:bottom w:val="single" w:sz="6" w:space="0" w:color="auto"/>
              <w:right w:val="single" w:sz="6" w:space="0" w:color="auto"/>
            </w:tcBorders>
          </w:tcPr>
          <w:p w14:paraId="491DBDBD" w14:textId="77777777" w:rsidR="00CD702C" w:rsidRPr="00CD702C" w:rsidRDefault="00CD702C" w:rsidP="006D389B">
            <w:pPr>
              <w:pStyle w:val="wTableNormal"/>
              <w:jc w:val="center"/>
            </w:pPr>
            <w:r w:rsidRPr="00CD702C">
              <w:t>98</w:t>
            </w:r>
          </w:p>
        </w:tc>
        <w:tc>
          <w:tcPr>
            <w:tcW w:w="1534" w:type="dxa"/>
            <w:tcBorders>
              <w:top w:val="single" w:sz="6" w:space="0" w:color="auto"/>
              <w:left w:val="single" w:sz="6" w:space="0" w:color="auto"/>
              <w:bottom w:val="single" w:sz="6" w:space="0" w:color="auto"/>
              <w:right w:val="single" w:sz="6" w:space="0" w:color="auto"/>
            </w:tcBorders>
          </w:tcPr>
          <w:p w14:paraId="1504E0BE" w14:textId="77777777" w:rsidR="00CD702C" w:rsidRPr="00CD702C" w:rsidRDefault="00CD702C" w:rsidP="006D389B">
            <w:pPr>
              <w:pStyle w:val="wTableNormal"/>
              <w:jc w:val="center"/>
            </w:pPr>
            <w:r w:rsidRPr="00CD702C">
              <w:t>7.1</w:t>
            </w:r>
          </w:p>
        </w:tc>
        <w:tc>
          <w:tcPr>
            <w:tcW w:w="1320" w:type="dxa"/>
            <w:tcBorders>
              <w:top w:val="single" w:sz="6" w:space="0" w:color="auto"/>
              <w:left w:val="single" w:sz="6" w:space="0" w:color="auto"/>
              <w:bottom w:val="single" w:sz="6" w:space="0" w:color="auto"/>
              <w:right w:val="single" w:sz="6" w:space="0" w:color="auto"/>
            </w:tcBorders>
          </w:tcPr>
          <w:p w14:paraId="772E8DC5" w14:textId="77777777" w:rsidR="00CD702C" w:rsidRPr="00CD702C" w:rsidRDefault="00CD702C" w:rsidP="006D389B">
            <w:pPr>
              <w:pStyle w:val="wTableNormal"/>
              <w:jc w:val="center"/>
            </w:pPr>
            <w:r w:rsidRPr="00CD702C">
              <w:t>113</w:t>
            </w:r>
          </w:p>
        </w:tc>
        <w:tc>
          <w:tcPr>
            <w:tcW w:w="1540" w:type="dxa"/>
            <w:tcBorders>
              <w:top w:val="single" w:sz="6" w:space="0" w:color="auto"/>
              <w:left w:val="single" w:sz="6" w:space="0" w:color="auto"/>
              <w:bottom w:val="single" w:sz="6" w:space="0" w:color="auto"/>
            </w:tcBorders>
          </w:tcPr>
          <w:p w14:paraId="5001B9F9" w14:textId="77777777" w:rsidR="00CD702C" w:rsidRPr="00CD702C" w:rsidRDefault="00CD702C" w:rsidP="006D389B">
            <w:pPr>
              <w:pStyle w:val="wTableNormal"/>
              <w:jc w:val="center"/>
            </w:pPr>
            <w:r w:rsidRPr="00CD702C">
              <w:t>2.4</w:t>
            </w:r>
          </w:p>
        </w:tc>
      </w:tr>
      <w:tr w:rsidR="00CD702C" w:rsidRPr="006D389B" w14:paraId="2A39B5FF" w14:textId="77777777" w:rsidTr="006D389B">
        <w:trPr>
          <w:jc w:val="center"/>
        </w:trPr>
        <w:tc>
          <w:tcPr>
            <w:tcW w:w="1256" w:type="dxa"/>
            <w:tcBorders>
              <w:top w:val="single" w:sz="6" w:space="0" w:color="auto"/>
              <w:bottom w:val="single" w:sz="6" w:space="0" w:color="auto"/>
              <w:right w:val="single" w:sz="6" w:space="0" w:color="auto"/>
            </w:tcBorders>
          </w:tcPr>
          <w:p w14:paraId="0D6E2D6C" w14:textId="77777777" w:rsidR="00CD702C" w:rsidRPr="00CD702C" w:rsidRDefault="00CD702C" w:rsidP="006D389B">
            <w:pPr>
              <w:pStyle w:val="wTableNormal"/>
              <w:jc w:val="center"/>
            </w:pPr>
            <w:r w:rsidRPr="00CD702C">
              <w:t>83</w:t>
            </w:r>
          </w:p>
        </w:tc>
        <w:tc>
          <w:tcPr>
            <w:tcW w:w="1492" w:type="dxa"/>
            <w:tcBorders>
              <w:top w:val="single" w:sz="6" w:space="0" w:color="auto"/>
              <w:left w:val="single" w:sz="6" w:space="0" w:color="auto"/>
              <w:bottom w:val="single" w:sz="6" w:space="0" w:color="auto"/>
              <w:right w:val="single" w:sz="6" w:space="0" w:color="auto"/>
            </w:tcBorders>
          </w:tcPr>
          <w:p w14:paraId="56D13A83" w14:textId="77777777" w:rsidR="00CD702C" w:rsidRPr="00CD702C" w:rsidRDefault="00CD702C" w:rsidP="006D389B">
            <w:pPr>
              <w:pStyle w:val="wTableNormal"/>
              <w:jc w:val="center"/>
            </w:pPr>
            <w:r w:rsidRPr="00CD702C">
              <w:t>16.3</w:t>
            </w:r>
          </w:p>
        </w:tc>
        <w:tc>
          <w:tcPr>
            <w:tcW w:w="1326" w:type="dxa"/>
            <w:gridSpan w:val="2"/>
            <w:tcBorders>
              <w:top w:val="single" w:sz="6" w:space="0" w:color="auto"/>
              <w:left w:val="single" w:sz="6" w:space="0" w:color="auto"/>
              <w:bottom w:val="single" w:sz="6" w:space="0" w:color="auto"/>
              <w:right w:val="single" w:sz="6" w:space="0" w:color="auto"/>
            </w:tcBorders>
          </w:tcPr>
          <w:p w14:paraId="33BE88DC" w14:textId="77777777" w:rsidR="00CD702C" w:rsidRPr="00CD702C" w:rsidRDefault="00CD702C" w:rsidP="006D389B">
            <w:pPr>
              <w:pStyle w:val="wTableNormal"/>
              <w:jc w:val="center"/>
            </w:pPr>
            <w:r w:rsidRPr="00CD702C">
              <w:t>99</w:t>
            </w:r>
          </w:p>
        </w:tc>
        <w:tc>
          <w:tcPr>
            <w:tcW w:w="1534" w:type="dxa"/>
            <w:tcBorders>
              <w:top w:val="single" w:sz="6" w:space="0" w:color="auto"/>
              <w:left w:val="single" w:sz="6" w:space="0" w:color="auto"/>
              <w:bottom w:val="single" w:sz="6" w:space="0" w:color="auto"/>
              <w:right w:val="single" w:sz="6" w:space="0" w:color="auto"/>
            </w:tcBorders>
          </w:tcPr>
          <w:p w14:paraId="2F952E86" w14:textId="77777777" w:rsidR="00CD702C" w:rsidRPr="00CD702C" w:rsidRDefault="00CD702C" w:rsidP="006D389B">
            <w:pPr>
              <w:pStyle w:val="wTableNormal"/>
              <w:jc w:val="center"/>
            </w:pPr>
            <w:r w:rsidRPr="00CD702C">
              <w:t>6.7</w:t>
            </w:r>
          </w:p>
        </w:tc>
        <w:tc>
          <w:tcPr>
            <w:tcW w:w="1320" w:type="dxa"/>
            <w:tcBorders>
              <w:top w:val="single" w:sz="6" w:space="0" w:color="auto"/>
              <w:left w:val="single" w:sz="6" w:space="0" w:color="auto"/>
              <w:bottom w:val="single" w:sz="6" w:space="0" w:color="auto"/>
              <w:right w:val="single" w:sz="6" w:space="0" w:color="auto"/>
            </w:tcBorders>
          </w:tcPr>
          <w:p w14:paraId="092692EA" w14:textId="77777777" w:rsidR="00CD702C" w:rsidRPr="00CD702C" w:rsidRDefault="00CD702C" w:rsidP="006D389B">
            <w:pPr>
              <w:pStyle w:val="wTableNormal"/>
              <w:jc w:val="center"/>
            </w:pPr>
            <w:r w:rsidRPr="00CD702C">
              <w:t>114</w:t>
            </w:r>
          </w:p>
        </w:tc>
        <w:tc>
          <w:tcPr>
            <w:tcW w:w="1540" w:type="dxa"/>
            <w:tcBorders>
              <w:top w:val="single" w:sz="6" w:space="0" w:color="auto"/>
              <w:left w:val="single" w:sz="6" w:space="0" w:color="auto"/>
              <w:bottom w:val="single" w:sz="6" w:space="0" w:color="auto"/>
            </w:tcBorders>
          </w:tcPr>
          <w:p w14:paraId="27DED262" w14:textId="77777777" w:rsidR="00CD702C" w:rsidRPr="00CD702C" w:rsidRDefault="00CD702C" w:rsidP="006D389B">
            <w:pPr>
              <w:pStyle w:val="wTableNormal"/>
              <w:jc w:val="center"/>
            </w:pPr>
            <w:r w:rsidRPr="00CD702C">
              <w:t>2.1</w:t>
            </w:r>
          </w:p>
        </w:tc>
      </w:tr>
      <w:tr w:rsidR="00CD702C" w:rsidRPr="006D389B" w14:paraId="33E21C25" w14:textId="77777777" w:rsidTr="006D389B">
        <w:trPr>
          <w:jc w:val="center"/>
        </w:trPr>
        <w:tc>
          <w:tcPr>
            <w:tcW w:w="1256" w:type="dxa"/>
            <w:tcBorders>
              <w:top w:val="single" w:sz="6" w:space="0" w:color="auto"/>
              <w:bottom w:val="single" w:sz="6" w:space="0" w:color="auto"/>
              <w:right w:val="single" w:sz="6" w:space="0" w:color="auto"/>
            </w:tcBorders>
          </w:tcPr>
          <w:p w14:paraId="0307BA8D" w14:textId="77777777" w:rsidR="00CD702C" w:rsidRPr="00CD702C" w:rsidRDefault="00CD702C" w:rsidP="006D389B">
            <w:pPr>
              <w:pStyle w:val="wTableNormal"/>
              <w:jc w:val="center"/>
            </w:pPr>
            <w:r w:rsidRPr="00CD702C">
              <w:t>84</w:t>
            </w:r>
          </w:p>
        </w:tc>
        <w:tc>
          <w:tcPr>
            <w:tcW w:w="1492" w:type="dxa"/>
            <w:tcBorders>
              <w:top w:val="single" w:sz="6" w:space="0" w:color="auto"/>
              <w:left w:val="single" w:sz="6" w:space="0" w:color="auto"/>
              <w:bottom w:val="single" w:sz="6" w:space="0" w:color="auto"/>
              <w:right w:val="single" w:sz="6" w:space="0" w:color="auto"/>
            </w:tcBorders>
          </w:tcPr>
          <w:p w14:paraId="5A8C6E91" w14:textId="77777777" w:rsidR="00CD702C" w:rsidRPr="00CD702C" w:rsidRDefault="00CD702C" w:rsidP="006D389B">
            <w:pPr>
              <w:pStyle w:val="wTableNormal"/>
              <w:jc w:val="center"/>
            </w:pPr>
            <w:r w:rsidRPr="00CD702C">
              <w:t>15.5</w:t>
            </w:r>
          </w:p>
        </w:tc>
        <w:tc>
          <w:tcPr>
            <w:tcW w:w="1326" w:type="dxa"/>
            <w:gridSpan w:val="2"/>
            <w:tcBorders>
              <w:top w:val="single" w:sz="6" w:space="0" w:color="auto"/>
              <w:left w:val="single" w:sz="6" w:space="0" w:color="auto"/>
              <w:bottom w:val="single" w:sz="6" w:space="0" w:color="auto"/>
              <w:right w:val="single" w:sz="6" w:space="0" w:color="auto"/>
            </w:tcBorders>
          </w:tcPr>
          <w:p w14:paraId="587A851F" w14:textId="77777777" w:rsidR="00CD702C" w:rsidRPr="00CD702C" w:rsidRDefault="00CD702C" w:rsidP="006D389B">
            <w:pPr>
              <w:pStyle w:val="wTableNormal"/>
              <w:jc w:val="center"/>
            </w:pPr>
            <w:r>
              <w:t>100</w:t>
            </w:r>
          </w:p>
        </w:tc>
        <w:tc>
          <w:tcPr>
            <w:tcW w:w="1534" w:type="dxa"/>
            <w:tcBorders>
              <w:top w:val="single" w:sz="6" w:space="0" w:color="auto"/>
              <w:left w:val="single" w:sz="6" w:space="0" w:color="auto"/>
              <w:bottom w:val="single" w:sz="6" w:space="0" w:color="auto"/>
              <w:right w:val="single" w:sz="6" w:space="0" w:color="auto"/>
            </w:tcBorders>
          </w:tcPr>
          <w:p w14:paraId="6F51DBF0" w14:textId="77777777" w:rsidR="00CD702C" w:rsidRPr="00CD702C" w:rsidRDefault="00CD702C" w:rsidP="006D389B">
            <w:pPr>
              <w:pStyle w:val="wTableNormal"/>
              <w:jc w:val="center"/>
            </w:pPr>
            <w:r w:rsidRPr="00CD702C">
              <w:t>6.3</w:t>
            </w:r>
          </w:p>
        </w:tc>
        <w:tc>
          <w:tcPr>
            <w:tcW w:w="1320" w:type="dxa"/>
            <w:tcBorders>
              <w:top w:val="single" w:sz="6" w:space="0" w:color="auto"/>
              <w:left w:val="single" w:sz="6" w:space="0" w:color="auto"/>
              <w:bottom w:val="single" w:sz="6" w:space="0" w:color="auto"/>
              <w:right w:val="single" w:sz="6" w:space="0" w:color="auto"/>
            </w:tcBorders>
          </w:tcPr>
          <w:p w14:paraId="326F72AF" w14:textId="77777777" w:rsidR="00CD702C" w:rsidRPr="00CD702C" w:rsidRDefault="00CD702C" w:rsidP="006D389B">
            <w:pPr>
              <w:pStyle w:val="wTableNormal"/>
              <w:jc w:val="center"/>
            </w:pPr>
            <w:r w:rsidRPr="00CD702C">
              <w:t>115</w:t>
            </w:r>
          </w:p>
        </w:tc>
        <w:tc>
          <w:tcPr>
            <w:tcW w:w="1540" w:type="dxa"/>
            <w:tcBorders>
              <w:top w:val="single" w:sz="6" w:space="0" w:color="auto"/>
              <w:left w:val="single" w:sz="6" w:space="0" w:color="auto"/>
              <w:bottom w:val="single" w:sz="6" w:space="0" w:color="auto"/>
            </w:tcBorders>
          </w:tcPr>
          <w:p w14:paraId="788F7E02" w14:textId="77777777" w:rsidR="00CD702C" w:rsidRPr="00CD702C" w:rsidRDefault="00CD702C" w:rsidP="006D389B">
            <w:pPr>
              <w:pStyle w:val="wTableNormal"/>
              <w:jc w:val="center"/>
            </w:pPr>
            <w:r w:rsidRPr="00CD702C">
              <w:t>1.9</w:t>
            </w:r>
          </w:p>
        </w:tc>
      </w:tr>
      <w:tr w:rsidR="00CD702C" w:rsidRPr="006D389B" w14:paraId="7B04C2C7" w14:textId="77777777" w:rsidTr="006D389B">
        <w:trPr>
          <w:jc w:val="center"/>
        </w:trPr>
        <w:tc>
          <w:tcPr>
            <w:tcW w:w="1256" w:type="dxa"/>
            <w:tcBorders>
              <w:top w:val="single" w:sz="6" w:space="0" w:color="auto"/>
              <w:right w:val="single" w:sz="6" w:space="0" w:color="auto"/>
            </w:tcBorders>
          </w:tcPr>
          <w:p w14:paraId="045E9661" w14:textId="77777777" w:rsidR="00CD702C" w:rsidRPr="00CD702C" w:rsidRDefault="00CD702C" w:rsidP="006D389B">
            <w:pPr>
              <w:pStyle w:val="wTableNormal"/>
              <w:jc w:val="center"/>
            </w:pPr>
            <w:r w:rsidRPr="00CD702C">
              <w:t>85</w:t>
            </w:r>
          </w:p>
        </w:tc>
        <w:tc>
          <w:tcPr>
            <w:tcW w:w="1492" w:type="dxa"/>
            <w:tcBorders>
              <w:top w:val="single" w:sz="6" w:space="0" w:color="auto"/>
              <w:left w:val="single" w:sz="6" w:space="0" w:color="auto"/>
              <w:right w:val="single" w:sz="6" w:space="0" w:color="auto"/>
            </w:tcBorders>
          </w:tcPr>
          <w:p w14:paraId="3BBBC009" w14:textId="77777777" w:rsidR="00CD702C" w:rsidRPr="00CD702C" w:rsidRDefault="00CD702C" w:rsidP="006D389B">
            <w:pPr>
              <w:pStyle w:val="wTableNormal"/>
              <w:jc w:val="center"/>
            </w:pPr>
            <w:r w:rsidRPr="00CD702C">
              <w:t>14.8</w:t>
            </w:r>
          </w:p>
        </w:tc>
        <w:tc>
          <w:tcPr>
            <w:tcW w:w="1326" w:type="dxa"/>
            <w:gridSpan w:val="2"/>
            <w:tcBorders>
              <w:top w:val="single" w:sz="6" w:space="0" w:color="auto"/>
              <w:left w:val="single" w:sz="6" w:space="0" w:color="auto"/>
              <w:right w:val="single" w:sz="6" w:space="0" w:color="auto"/>
            </w:tcBorders>
          </w:tcPr>
          <w:p w14:paraId="2CC2E6F9" w14:textId="77777777" w:rsidR="00CD702C" w:rsidRPr="00CD702C" w:rsidRDefault="00CD702C" w:rsidP="006D389B">
            <w:pPr>
              <w:pStyle w:val="wTableNormal"/>
              <w:jc w:val="center"/>
            </w:pPr>
          </w:p>
        </w:tc>
        <w:tc>
          <w:tcPr>
            <w:tcW w:w="1534" w:type="dxa"/>
            <w:tcBorders>
              <w:top w:val="single" w:sz="6" w:space="0" w:color="auto"/>
              <w:left w:val="single" w:sz="6" w:space="0" w:color="auto"/>
              <w:right w:val="single" w:sz="6" w:space="0" w:color="auto"/>
            </w:tcBorders>
          </w:tcPr>
          <w:p w14:paraId="4C239FCB" w14:textId="77777777" w:rsidR="00CD702C" w:rsidRPr="00CD702C" w:rsidRDefault="00CD702C" w:rsidP="006D389B">
            <w:pPr>
              <w:pStyle w:val="wTableNormal"/>
              <w:jc w:val="center"/>
            </w:pPr>
          </w:p>
        </w:tc>
        <w:tc>
          <w:tcPr>
            <w:tcW w:w="1320" w:type="dxa"/>
            <w:tcBorders>
              <w:top w:val="single" w:sz="6" w:space="0" w:color="auto"/>
              <w:left w:val="single" w:sz="6" w:space="0" w:color="auto"/>
              <w:right w:val="single" w:sz="6" w:space="0" w:color="auto"/>
            </w:tcBorders>
          </w:tcPr>
          <w:p w14:paraId="0DB61793" w14:textId="77777777" w:rsidR="00CD702C" w:rsidRPr="00CD702C" w:rsidRDefault="00CD702C" w:rsidP="006D389B">
            <w:pPr>
              <w:pStyle w:val="wTableNormal"/>
              <w:jc w:val="center"/>
            </w:pPr>
          </w:p>
        </w:tc>
        <w:tc>
          <w:tcPr>
            <w:tcW w:w="1540" w:type="dxa"/>
            <w:tcBorders>
              <w:top w:val="single" w:sz="6" w:space="0" w:color="auto"/>
              <w:left w:val="single" w:sz="6" w:space="0" w:color="auto"/>
            </w:tcBorders>
          </w:tcPr>
          <w:p w14:paraId="1DB31A4D" w14:textId="77777777" w:rsidR="00CD702C" w:rsidRPr="00CD702C" w:rsidRDefault="00CD702C" w:rsidP="006D389B">
            <w:pPr>
              <w:pStyle w:val="wTableNormal"/>
              <w:jc w:val="center"/>
            </w:pPr>
          </w:p>
        </w:tc>
      </w:tr>
    </w:tbl>
    <w:p w14:paraId="00B13F16" w14:textId="77777777" w:rsidR="00620B32" w:rsidRPr="00EA60AC" w:rsidRDefault="00620B32" w:rsidP="009C4A7D">
      <w:pPr>
        <w:pStyle w:val="Heading2"/>
      </w:pPr>
      <w:bookmarkStart w:id="188" w:name="_Toc48025286"/>
      <w:bookmarkStart w:id="189" w:name="_Toc404357250"/>
      <w:r w:rsidRPr="00EA60AC">
        <w:t>Rollovers</w:t>
      </w:r>
      <w:bookmarkEnd w:id="188"/>
      <w:bookmarkEnd w:id="189"/>
    </w:p>
    <w:p w14:paraId="2ACDECF6" w14:textId="77777777" w:rsidR="00620B32" w:rsidRDefault="00620B32" w:rsidP="00825E0B">
      <w:pPr>
        <w:rPr>
          <w:szCs w:val="22"/>
        </w:rPr>
      </w:pPr>
      <w:r w:rsidRPr="000B485C">
        <w:rPr>
          <w:szCs w:val="22"/>
        </w:rPr>
        <w:t xml:space="preserve">By following the rules that are set out in the Code and Regulations, </w:t>
      </w:r>
      <w:r>
        <w:rPr>
          <w:szCs w:val="22"/>
        </w:rPr>
        <w:t>an individual</w:t>
      </w:r>
      <w:r w:rsidRPr="000B485C">
        <w:rPr>
          <w:szCs w:val="22"/>
        </w:rPr>
        <w:t xml:space="preserve"> can roll</w:t>
      </w:r>
      <w:r>
        <w:rPr>
          <w:szCs w:val="22"/>
        </w:rPr>
        <w:t xml:space="preserve"> </w:t>
      </w:r>
      <w:r w:rsidRPr="000B485C">
        <w:rPr>
          <w:szCs w:val="22"/>
        </w:rPr>
        <w:t>over a</w:t>
      </w:r>
      <w:r>
        <w:rPr>
          <w:szCs w:val="22"/>
        </w:rPr>
        <w:t xml:space="preserve">n </w:t>
      </w:r>
      <w:r w:rsidRPr="006D452D">
        <w:rPr>
          <w:i/>
          <w:szCs w:val="22"/>
        </w:rPr>
        <w:t>eligible rollover</w:t>
      </w:r>
      <w:r w:rsidR="00A95039">
        <w:rPr>
          <w:i/>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i/>
          <w:szCs w:val="22"/>
        </w:rPr>
        <w:fldChar w:fldCharType="end"/>
      </w:r>
      <w:r w:rsidRPr="006D452D">
        <w:rPr>
          <w:i/>
          <w:szCs w:val="22"/>
        </w:rPr>
        <w:t xml:space="preserve"> distribution</w:t>
      </w:r>
      <w:r w:rsidRPr="000B485C">
        <w:rPr>
          <w:szCs w:val="22"/>
        </w:rPr>
        <w:t xml:space="preserve"> from a </w:t>
      </w:r>
      <w:r>
        <w:rPr>
          <w:szCs w:val="22"/>
        </w:rPr>
        <w:t xml:space="preserve">SIMPLE IRA </w:t>
      </w:r>
      <w:r w:rsidRPr="000B485C">
        <w:rPr>
          <w:szCs w:val="22"/>
        </w:rPr>
        <w:t>and continue to avoid paying current</w:t>
      </w:r>
      <w:r>
        <w:rPr>
          <w:szCs w:val="22"/>
        </w:rPr>
        <w:t xml:space="preserve"> income</w:t>
      </w:r>
      <w:r w:rsidRPr="000B485C">
        <w:rPr>
          <w:szCs w:val="22"/>
        </w:rPr>
        <w:t xml:space="preserve"> taxes on the amount rolled over</w:t>
      </w:r>
      <w:r w:rsidR="00EF6DB3">
        <w:rPr>
          <w:szCs w:val="22"/>
        </w:rPr>
        <w:t xml:space="preserve"> until subsequently distributed</w:t>
      </w:r>
      <w:r w:rsidRPr="000B485C">
        <w:rPr>
          <w:szCs w:val="22"/>
        </w:rPr>
        <w:t>.</w:t>
      </w:r>
      <w:r w:rsidR="00297ACB">
        <w:rPr>
          <w:szCs w:val="22"/>
        </w:rPr>
        <w:t xml:space="preserve"> </w:t>
      </w:r>
      <w:r>
        <w:rPr>
          <w:szCs w:val="22"/>
        </w:rPr>
        <w:t xml:space="preserve">Not every distribution, however, qualifies as an </w:t>
      </w:r>
      <w:r>
        <w:rPr>
          <w:i/>
          <w:szCs w:val="22"/>
        </w:rPr>
        <w:t>eligible rollover distribution</w:t>
      </w:r>
      <w:r>
        <w:rPr>
          <w:szCs w:val="22"/>
        </w:rPr>
        <w:t>.</w:t>
      </w:r>
    </w:p>
    <w:p w14:paraId="39085529" w14:textId="77777777" w:rsidR="00620B32" w:rsidRDefault="00620B32" w:rsidP="00825E0B">
      <w:pPr>
        <w:rPr>
          <w:szCs w:val="22"/>
        </w:rPr>
      </w:pPr>
      <w:r>
        <w:rPr>
          <w:szCs w:val="22"/>
        </w:rPr>
        <w:t>As we discussed in our earlier examination of traditional IRAs, an eligible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distribution is any distribution made to an employee of the funds to his or her credit in a qualified trust</w:t>
      </w:r>
      <w:r w:rsidRPr="000B485C">
        <w:rPr>
          <w:szCs w:val="22"/>
        </w:rPr>
        <w:t xml:space="preserve"> </w:t>
      </w:r>
      <w:r>
        <w:rPr>
          <w:szCs w:val="22"/>
        </w:rPr>
        <w:t>EXCEPT for a distribution that is:</w:t>
      </w:r>
    </w:p>
    <w:p w14:paraId="0FB7E94A" w14:textId="77777777" w:rsidR="00620B32" w:rsidRPr="001C3753" w:rsidRDefault="00BA0F90" w:rsidP="007A5E54">
      <w:pPr>
        <w:numPr>
          <w:ilvl w:val="0"/>
          <w:numId w:val="36"/>
        </w:numPr>
        <w:contextualSpacing/>
      </w:pPr>
      <w:r w:rsidRPr="001C3753">
        <w:t>Part of a series of substantially equal payments made over the employee’s life expectancy</w:t>
      </w:r>
      <w:r>
        <w:t>;</w:t>
      </w:r>
    </w:p>
    <w:p w14:paraId="1D7D8085" w14:textId="77777777" w:rsidR="00620B32" w:rsidRPr="001C3753" w:rsidRDefault="00BA0F90" w:rsidP="007A5E54">
      <w:pPr>
        <w:numPr>
          <w:ilvl w:val="0"/>
          <w:numId w:val="36"/>
        </w:numPr>
        <w:contextualSpacing/>
      </w:pPr>
      <w:r w:rsidRPr="001C3753">
        <w:lastRenderedPageBreak/>
        <w:t>Made for a specified period of 10 years or more</w:t>
      </w:r>
      <w:r>
        <w:t>;</w:t>
      </w:r>
    </w:p>
    <w:p w14:paraId="72B8307A" w14:textId="77777777" w:rsidR="00620B32" w:rsidRPr="001C3753" w:rsidRDefault="00BA0F90" w:rsidP="007A5E54">
      <w:pPr>
        <w:numPr>
          <w:ilvl w:val="0"/>
          <w:numId w:val="36"/>
        </w:numPr>
        <w:contextualSpacing/>
      </w:pPr>
      <w:r w:rsidRPr="001C3753">
        <w:t>A required minimum distribution</w:t>
      </w:r>
      <w:r>
        <w:t>;</w:t>
      </w:r>
      <w:r w:rsidRPr="001C3753">
        <w:t xml:space="preserve"> or</w:t>
      </w:r>
    </w:p>
    <w:p w14:paraId="1F28A113" w14:textId="77777777" w:rsidR="00620B32" w:rsidRPr="001C3753" w:rsidRDefault="00BA0F90" w:rsidP="007A5E54">
      <w:pPr>
        <w:numPr>
          <w:ilvl w:val="0"/>
          <w:numId w:val="36"/>
        </w:numPr>
        <w:contextualSpacing/>
      </w:pPr>
      <w:r w:rsidRPr="001C3753">
        <w:t>A hardship distributi</w:t>
      </w:r>
      <w:r w:rsidR="00620B32" w:rsidRPr="001C3753">
        <w:t>on</w:t>
      </w:r>
      <w:r>
        <w:t>.</w:t>
      </w:r>
    </w:p>
    <w:p w14:paraId="74B806FA" w14:textId="77777777" w:rsidR="00862936" w:rsidRDefault="00862936" w:rsidP="00862936">
      <w:pPr>
        <w:pStyle w:val="Heading3"/>
      </w:pPr>
      <w:bookmarkStart w:id="190" w:name="_Toc404357251"/>
      <w:r>
        <w:t>Direct and Indirect Rollovers</w:t>
      </w:r>
      <w:bookmarkEnd w:id="190"/>
    </w:p>
    <w:p w14:paraId="52F0A40C" w14:textId="77777777" w:rsidR="00620B32" w:rsidRDefault="00620B32" w:rsidP="00825E0B">
      <w:pPr>
        <w:rPr>
          <w:szCs w:val="22"/>
        </w:rPr>
      </w:pPr>
      <w:r>
        <w:rPr>
          <w:szCs w:val="22"/>
        </w:rPr>
        <w:t>Most distributions from a SIMPLE IRA may be rolled over, provided they are eligible.</w:t>
      </w:r>
      <w:r w:rsidR="00297ACB">
        <w:rPr>
          <w:szCs w:val="22"/>
        </w:rPr>
        <w:t xml:space="preserve"> </w:t>
      </w:r>
      <w:r w:rsidRPr="000B485C">
        <w:rPr>
          <w:szCs w:val="22"/>
        </w:rPr>
        <w:t xml:space="preserve">There are two </w:t>
      </w:r>
      <w:r>
        <w:rPr>
          <w:szCs w:val="22"/>
        </w:rPr>
        <w:t>types of rollovers:</w:t>
      </w:r>
    </w:p>
    <w:p w14:paraId="74D24AAE" w14:textId="77777777" w:rsidR="00620B32" w:rsidRPr="001C3753" w:rsidRDefault="00620B32" w:rsidP="007A5E54">
      <w:pPr>
        <w:numPr>
          <w:ilvl w:val="0"/>
          <w:numId w:val="37"/>
        </w:numPr>
        <w:contextualSpacing/>
      </w:pPr>
      <w:r w:rsidRPr="001C3753">
        <w:t>Trustee to participant to trustee</w:t>
      </w:r>
      <w:r w:rsidR="00BA0F90">
        <w:t>;</w:t>
      </w:r>
      <w:r w:rsidR="001C3753" w:rsidRPr="001C3753">
        <w:t xml:space="preserve"> </w:t>
      </w:r>
      <w:r w:rsidRPr="001C3753">
        <w:t>and</w:t>
      </w:r>
    </w:p>
    <w:p w14:paraId="4287EBBF" w14:textId="77777777" w:rsidR="00620B32" w:rsidRPr="001C3753" w:rsidRDefault="00620B32" w:rsidP="007A5E54">
      <w:pPr>
        <w:numPr>
          <w:ilvl w:val="0"/>
          <w:numId w:val="37"/>
        </w:numPr>
      </w:pPr>
      <w:r w:rsidRPr="001C3753">
        <w:t>Trustee to trustee</w:t>
      </w:r>
      <w:r w:rsidR="00BA0F90">
        <w:t>.</w:t>
      </w:r>
    </w:p>
    <w:p w14:paraId="736BE602" w14:textId="77777777" w:rsidR="00620B32" w:rsidRPr="000B485C" w:rsidRDefault="00620B32" w:rsidP="00825E0B">
      <w:pPr>
        <w:rPr>
          <w:szCs w:val="22"/>
        </w:rPr>
      </w:pPr>
      <w:r w:rsidRPr="000B485C">
        <w:rPr>
          <w:szCs w:val="22"/>
        </w:rPr>
        <w:t>A trustee can make the rollo</w:t>
      </w:r>
      <w:r>
        <w:rPr>
          <w:szCs w:val="22"/>
        </w:rPr>
        <w:t>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directly to another trustee—for example, a SIMPLE IRA trustee can send the funds directly to a traditional IRA</w:t>
      </w:r>
      <w:r w:rsidR="00A95039">
        <w:rPr>
          <w:szCs w:val="22"/>
        </w:rPr>
        <w:fldChar w:fldCharType="begin"/>
      </w:r>
      <w:r w:rsidR="00293611">
        <w:instrText xml:space="preserve"> XE "</w:instrText>
      </w:r>
      <w:r w:rsidR="00293611" w:rsidRPr="00CD56BD">
        <w:rPr>
          <w:szCs w:val="22"/>
        </w:rPr>
        <w:instrText>traditional IRA</w:instrText>
      </w:r>
      <w:r w:rsidR="00293611">
        <w:instrText xml:space="preserve">" </w:instrText>
      </w:r>
      <w:r w:rsidR="00A95039">
        <w:rPr>
          <w:szCs w:val="22"/>
        </w:rPr>
        <w:fldChar w:fldCharType="end"/>
      </w:r>
      <w:r>
        <w:rPr>
          <w:szCs w:val="22"/>
        </w:rPr>
        <w:t xml:space="preserve"> trustee or to the trustee of another SIMPLE IRA—</w:t>
      </w:r>
      <w:r w:rsidRPr="000B485C">
        <w:rPr>
          <w:szCs w:val="22"/>
        </w:rPr>
        <w:t xml:space="preserve">or it can </w:t>
      </w:r>
      <w:r>
        <w:rPr>
          <w:szCs w:val="22"/>
        </w:rPr>
        <w:t xml:space="preserve">pay the funds </w:t>
      </w:r>
      <w:r w:rsidRPr="000B485C">
        <w:rPr>
          <w:szCs w:val="22"/>
        </w:rPr>
        <w:t>to the individual.</w:t>
      </w:r>
      <w:r w:rsidR="00297ACB">
        <w:rPr>
          <w:szCs w:val="22"/>
        </w:rPr>
        <w:t xml:space="preserve"> </w:t>
      </w:r>
      <w:r w:rsidR="001768D3">
        <w:rPr>
          <w:szCs w:val="22"/>
        </w:rPr>
        <w:t>Unlike a distribution from a qualified plan paid to the employee that is subsequently rolled</w:t>
      </w:r>
      <w:r w:rsidRPr="000B485C">
        <w:rPr>
          <w:szCs w:val="22"/>
        </w:rPr>
        <w:t xml:space="preserve"> </w:t>
      </w:r>
      <w:r w:rsidR="001768D3">
        <w:rPr>
          <w:szCs w:val="22"/>
        </w:rPr>
        <w:t>over, no mandatory withholding</w:t>
      </w:r>
      <w:r w:rsidR="00A95039">
        <w:rPr>
          <w:szCs w:val="22"/>
        </w:rPr>
        <w:fldChar w:fldCharType="begin"/>
      </w:r>
      <w:r w:rsidR="00293611">
        <w:instrText xml:space="preserve"> XE "</w:instrText>
      </w:r>
      <w:r w:rsidR="00293611" w:rsidRPr="00CD56BD">
        <w:rPr>
          <w:szCs w:val="22"/>
        </w:rPr>
        <w:instrText>mandatory withholding</w:instrText>
      </w:r>
      <w:r w:rsidR="00293611">
        <w:instrText xml:space="preserve">" </w:instrText>
      </w:r>
      <w:r w:rsidR="00A95039">
        <w:rPr>
          <w:szCs w:val="22"/>
        </w:rPr>
        <w:fldChar w:fldCharType="end"/>
      </w:r>
      <w:r w:rsidR="001768D3">
        <w:rPr>
          <w:szCs w:val="22"/>
        </w:rPr>
        <w:t xml:space="preserve"> applies to a SIMPLE IRA distribution.</w:t>
      </w:r>
    </w:p>
    <w:p w14:paraId="0D63E2F3" w14:textId="77777777" w:rsidR="00862936" w:rsidRDefault="00862936" w:rsidP="00862936">
      <w:pPr>
        <w:pStyle w:val="Heading3"/>
      </w:pPr>
      <w:bookmarkStart w:id="191" w:name="_Toc404357252"/>
      <w:r>
        <w:t>Rollover Recipient Plan</w:t>
      </w:r>
      <w:bookmarkEnd w:id="191"/>
    </w:p>
    <w:p w14:paraId="4C064072" w14:textId="77777777" w:rsidR="00620B32" w:rsidRDefault="004427D6" w:rsidP="00825E0B">
      <w:pPr>
        <w:rPr>
          <w:szCs w:val="22"/>
        </w:rPr>
      </w:pPr>
      <w:r>
        <w:rPr>
          <w:szCs w:val="22"/>
        </w:rPr>
        <w:t>The permitted recipient of a SIMPLE IRA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depends on whether or not the rollover is being made during the first 2 years of the employee’s participation.</w:t>
      </w:r>
    </w:p>
    <w:p w14:paraId="26E329C9" w14:textId="77777777" w:rsidR="004427D6" w:rsidRPr="001C3753" w:rsidRDefault="004427D6" w:rsidP="007A5E54">
      <w:pPr>
        <w:numPr>
          <w:ilvl w:val="0"/>
          <w:numId w:val="38"/>
        </w:numPr>
        <w:contextualSpacing/>
      </w:pPr>
      <w:r w:rsidRPr="001C3753">
        <w:t>If the SIMPLE IRA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rsidRPr="001C3753">
        <w:t xml:space="preserve"> is being made during the first 2 years of the employee’s participation, the rollover may be made only to another SIMPLE IRA</w:t>
      </w:r>
      <w:r w:rsidR="00BA0F90">
        <w:t>.</w:t>
      </w:r>
    </w:p>
    <w:p w14:paraId="73C6CBB9" w14:textId="77777777" w:rsidR="004427D6" w:rsidRPr="001C3753" w:rsidRDefault="004427D6" w:rsidP="007A5E54">
      <w:pPr>
        <w:numPr>
          <w:ilvl w:val="0"/>
          <w:numId w:val="38"/>
        </w:numPr>
      </w:pPr>
      <w:r w:rsidRPr="001C3753">
        <w:t>If the SIMPLE IRA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rsidRPr="001C3753">
        <w:t xml:space="preserve"> is being made after the employee has participated in the plan for at least 2 years, the rollover may be made to either another SIMPLE IRA or to a traditional IRA</w:t>
      </w:r>
      <w:r w:rsidR="00BA0F90">
        <w:t>.</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p>
    <w:p w14:paraId="2C8271E4" w14:textId="77777777" w:rsidR="004427D6" w:rsidRDefault="004427D6" w:rsidP="00825E0B">
      <w:pPr>
        <w:rPr>
          <w:szCs w:val="22"/>
        </w:rPr>
      </w:pPr>
      <w:r>
        <w:rPr>
          <w:szCs w:val="22"/>
        </w:rPr>
        <w:t>In order to avoid a taxable distribution, the rollover</w:t>
      </w:r>
      <w:r w:rsidR="00A95039">
        <w:rPr>
          <w:szCs w:val="22"/>
        </w:rPr>
        <w:fldChar w:fldCharType="begin"/>
      </w:r>
      <w:r w:rsidR="00293611">
        <w:instrText xml:space="preserve"> XE "</w:instrText>
      </w:r>
      <w:r w:rsidR="00293611" w:rsidRPr="00CD56BD">
        <w:rPr>
          <w:szCs w:val="22"/>
        </w:rPr>
        <w:instrText>rollover</w:instrText>
      </w:r>
      <w:r w:rsidR="00293611">
        <w:instrText xml:space="preserve">" </w:instrText>
      </w:r>
      <w:r w:rsidR="00A95039">
        <w:rPr>
          <w:szCs w:val="22"/>
        </w:rPr>
        <w:fldChar w:fldCharType="end"/>
      </w:r>
      <w:r>
        <w:rPr>
          <w:szCs w:val="22"/>
        </w:rPr>
        <w:t xml:space="preserve"> must be completed within 60 days of distribution.</w:t>
      </w:r>
    </w:p>
    <w:p w14:paraId="23581112" w14:textId="77777777" w:rsidR="004427D6" w:rsidRPr="00EA60AC" w:rsidRDefault="004427D6" w:rsidP="009C4A7D">
      <w:pPr>
        <w:pStyle w:val="Heading2"/>
      </w:pPr>
      <w:bookmarkStart w:id="192" w:name="_Toc48025287"/>
      <w:bookmarkStart w:id="193" w:name="_Toc404357253"/>
      <w:r w:rsidRPr="00EA60AC">
        <w:t>Summary</w:t>
      </w:r>
      <w:bookmarkEnd w:id="192"/>
      <w:bookmarkEnd w:id="193"/>
    </w:p>
    <w:p w14:paraId="04939FD5" w14:textId="77777777" w:rsidR="003010FE" w:rsidRDefault="003010FE" w:rsidP="00825E0B">
      <w:pPr>
        <w:rPr>
          <w:szCs w:val="22"/>
        </w:rPr>
      </w:pPr>
      <w:r>
        <w:rPr>
          <w:szCs w:val="22"/>
        </w:rPr>
        <w:t>SIMPLE plans may be established by small employers with no more than 100 employees earning $5,000 or more.</w:t>
      </w:r>
      <w:r w:rsidR="00297ACB">
        <w:rPr>
          <w:szCs w:val="22"/>
        </w:rPr>
        <w:t xml:space="preserve"> </w:t>
      </w:r>
      <w:r>
        <w:rPr>
          <w:szCs w:val="22"/>
        </w:rPr>
        <w:t>These plans provide the important retirement and tax benefits normally found only in qualified retirement plans but without the more costly setup and administrative charges characteristic of these plans.</w:t>
      </w:r>
      <w:r w:rsidR="00297ACB">
        <w:rPr>
          <w:szCs w:val="22"/>
        </w:rPr>
        <w:t xml:space="preserve"> </w:t>
      </w:r>
      <w:r>
        <w:rPr>
          <w:szCs w:val="22"/>
        </w:rPr>
        <w:t>SIMPLE IRAs are funded by both elective contributions authorized by the employee’s salary reduction agreement and mandatory employer contributions, which may involve matching contributions</w:t>
      </w:r>
      <w:r w:rsidR="00A95039">
        <w:rPr>
          <w:szCs w:val="22"/>
        </w:rPr>
        <w:fldChar w:fldCharType="begin"/>
      </w:r>
      <w:r w:rsidR="00500F1D">
        <w:instrText xml:space="preserve"> XE "</w:instrText>
      </w:r>
      <w:r w:rsidR="00500F1D" w:rsidRPr="00CD56BD">
        <w:rPr>
          <w:szCs w:val="22"/>
        </w:rPr>
        <w:instrText>SIMPLE employer matching contributions</w:instrText>
      </w:r>
      <w:r w:rsidR="00500F1D">
        <w:instrText xml:space="preserve">" </w:instrText>
      </w:r>
      <w:r w:rsidR="00A95039">
        <w:rPr>
          <w:szCs w:val="22"/>
        </w:rPr>
        <w:fldChar w:fldCharType="end"/>
      </w:r>
      <w:r>
        <w:rPr>
          <w:szCs w:val="22"/>
        </w:rPr>
        <w:t xml:space="preserve"> or nonelective, i.e. non-matching, contributions.</w:t>
      </w:r>
      <w:r w:rsidR="00297ACB">
        <w:rPr>
          <w:szCs w:val="22"/>
        </w:rPr>
        <w:t xml:space="preserve"> </w:t>
      </w:r>
      <w:r>
        <w:rPr>
          <w:szCs w:val="22"/>
        </w:rPr>
        <w:t>Contributions are made before taxes and enjoy tax deferral of growth.</w:t>
      </w:r>
    </w:p>
    <w:p w14:paraId="2E675C03" w14:textId="77777777" w:rsidR="003010FE" w:rsidRDefault="003010FE" w:rsidP="004410F8">
      <w:pPr>
        <w:rPr>
          <w:szCs w:val="22"/>
        </w:rPr>
      </w:pPr>
      <w:r>
        <w:rPr>
          <w:szCs w:val="22"/>
        </w:rPr>
        <w:t>Distributions from a SIMPLE IRA are taxable as ordinary income</w:t>
      </w:r>
      <w:r w:rsidR="00A95039">
        <w:rPr>
          <w:szCs w:val="22"/>
        </w:rPr>
        <w:fldChar w:fldCharType="begin"/>
      </w:r>
      <w:r w:rsidR="00293611">
        <w:instrText xml:space="preserve"> XE "</w:instrText>
      </w:r>
      <w:r w:rsidR="00293611" w:rsidRPr="00CD56BD">
        <w:instrText>ordinary income</w:instrText>
      </w:r>
      <w:r w:rsidR="00293611">
        <w:instrText xml:space="preserve">" </w:instrText>
      </w:r>
      <w:r w:rsidR="00A95039">
        <w:rPr>
          <w:szCs w:val="22"/>
        </w:rPr>
        <w:fldChar w:fldCharType="end"/>
      </w:r>
      <w:r>
        <w:rPr>
          <w:szCs w:val="22"/>
        </w:rPr>
        <w:t xml:space="preserve"> in the year received.</w:t>
      </w:r>
      <w:r w:rsidR="00297ACB">
        <w:rPr>
          <w:szCs w:val="22"/>
        </w:rPr>
        <w:t xml:space="preserve"> </w:t>
      </w:r>
      <w:r>
        <w:rPr>
          <w:szCs w:val="22"/>
        </w:rPr>
        <w:t>Distributions received before the employee’s age 59½</w:t>
      </w:r>
      <w:r w:rsidR="00A95039">
        <w:rPr>
          <w:szCs w:val="22"/>
        </w:rPr>
        <w:fldChar w:fldCharType="begin"/>
      </w:r>
      <w:r w:rsidR="00500F1D">
        <w:instrText xml:space="preserve"> XE "</w:instrText>
      </w:r>
      <w:r w:rsidR="00500F1D" w:rsidRPr="00CD56BD">
        <w:rPr>
          <w:szCs w:val="22"/>
        </w:rPr>
        <w:instrText>age 59½</w:instrText>
      </w:r>
      <w:r w:rsidR="00500F1D">
        <w:instrText xml:space="preserve">" </w:instrText>
      </w:r>
      <w:r w:rsidR="00A95039">
        <w:rPr>
          <w:szCs w:val="22"/>
        </w:rPr>
        <w:fldChar w:fldCharType="end"/>
      </w:r>
      <w:r>
        <w:rPr>
          <w:szCs w:val="22"/>
        </w:rPr>
        <w:t xml:space="preserve"> are subject to a premature distribution tax penalty unless a specific exception applies.</w:t>
      </w:r>
      <w:r w:rsidR="00297ACB">
        <w:rPr>
          <w:szCs w:val="22"/>
        </w:rPr>
        <w:t xml:space="preserve"> </w:t>
      </w:r>
      <w:r>
        <w:rPr>
          <w:szCs w:val="22"/>
        </w:rPr>
        <w:t>Although the premature distribution tax penalty that applies after the employee has been a plan participant for 2 years is 10 percent, the premature distribution tax penalty that applies before the two-year participation period has been completed is 25 percent of the amount of the distribution includible in income.</w:t>
      </w:r>
    </w:p>
    <w:p w14:paraId="4E41AA51" w14:textId="77777777" w:rsidR="00862936" w:rsidRDefault="00862936" w:rsidP="00862936">
      <w:pPr>
        <w:pStyle w:val="Heading2"/>
      </w:pPr>
      <w:bookmarkStart w:id="194" w:name="_Toc404357254"/>
      <w:r>
        <w:t>Review Quiz #8</w:t>
      </w:r>
      <w:bookmarkEnd w:id="194"/>
    </w:p>
    <w:p w14:paraId="482FCD5A" w14:textId="77777777" w:rsidR="00763036" w:rsidRDefault="00763036" w:rsidP="00763036">
      <w:pPr>
        <w:ind w:left="360" w:hanging="360"/>
      </w:pPr>
      <w:r>
        <w:t>1.   Howard Johnson, age 35, received a $5,000 distribution from his employer’s SIMPLE IRA in which he ha</w:t>
      </w:r>
      <w:r w:rsidR="00632081">
        <w:t>d</w:t>
      </w:r>
      <w:r>
        <w:t xml:space="preserve"> participated for 1 year. During that year he made elective contributions of $2,000. What is the amount of his premature distribution tax penalty assuming no specific exception to the penalty applies?</w:t>
      </w:r>
    </w:p>
    <w:p w14:paraId="6CE5CD0F" w14:textId="77777777" w:rsidR="00763036" w:rsidRPr="001C3753" w:rsidRDefault="00763036" w:rsidP="007A5E54">
      <w:pPr>
        <w:numPr>
          <w:ilvl w:val="0"/>
          <w:numId w:val="99"/>
        </w:numPr>
        <w:tabs>
          <w:tab w:val="clear" w:pos="1080"/>
          <w:tab w:val="num" w:pos="720"/>
        </w:tabs>
        <w:ind w:left="720"/>
      </w:pPr>
      <w:r w:rsidRPr="001C3753">
        <w:lastRenderedPageBreak/>
        <w:t>$300</w:t>
      </w:r>
    </w:p>
    <w:p w14:paraId="46F8B0B6" w14:textId="77777777" w:rsidR="00763036" w:rsidRPr="001C3753" w:rsidRDefault="00763036" w:rsidP="007A5E54">
      <w:pPr>
        <w:numPr>
          <w:ilvl w:val="0"/>
          <w:numId w:val="99"/>
        </w:numPr>
        <w:tabs>
          <w:tab w:val="clear" w:pos="1080"/>
          <w:tab w:val="num" w:pos="720"/>
        </w:tabs>
        <w:ind w:left="720"/>
      </w:pPr>
      <w:r w:rsidRPr="001C3753">
        <w:t>$500</w:t>
      </w:r>
    </w:p>
    <w:p w14:paraId="4D9FFE1F" w14:textId="77777777" w:rsidR="00763036" w:rsidRPr="001C3753" w:rsidRDefault="00763036" w:rsidP="007A5E54">
      <w:pPr>
        <w:numPr>
          <w:ilvl w:val="0"/>
          <w:numId w:val="99"/>
        </w:numPr>
        <w:tabs>
          <w:tab w:val="clear" w:pos="1080"/>
          <w:tab w:val="num" w:pos="720"/>
        </w:tabs>
        <w:ind w:left="720"/>
      </w:pPr>
      <w:r w:rsidRPr="001C3753">
        <w:t>$7</w:t>
      </w:r>
      <w:r>
        <w:t>0</w:t>
      </w:r>
      <w:r w:rsidRPr="001C3753">
        <w:t>0</w:t>
      </w:r>
    </w:p>
    <w:p w14:paraId="0DE4DA75" w14:textId="77777777" w:rsidR="00763036" w:rsidRDefault="00763036" w:rsidP="007A5E54">
      <w:pPr>
        <w:numPr>
          <w:ilvl w:val="0"/>
          <w:numId w:val="99"/>
        </w:numPr>
        <w:tabs>
          <w:tab w:val="clear" w:pos="1080"/>
          <w:tab w:val="num" w:pos="720"/>
        </w:tabs>
        <w:ind w:left="720"/>
      </w:pPr>
      <w:r w:rsidRPr="001C3753">
        <w:t>$1,250</w:t>
      </w:r>
    </w:p>
    <w:p w14:paraId="1F9D8343" w14:textId="77777777" w:rsidR="00763036" w:rsidRDefault="00763036" w:rsidP="00763036">
      <w:pPr>
        <w:ind w:left="360" w:hanging="360"/>
      </w:pPr>
      <w:r>
        <w:t>2.    Shirley, age 42, is employed by an employer who maintains a SIMPLE IRA. She participates in the plan and makes regular elective contributions. She also works part-time as a counselor for a local mental health clinic and participates in its 401(k) plan. In 201</w:t>
      </w:r>
      <w:r w:rsidR="00D44E06">
        <w:t>5</w:t>
      </w:r>
      <w:r>
        <w:t xml:space="preserve"> she made elective deferrals to the 401(k) plan totaling $</w:t>
      </w:r>
      <w:r w:rsidR="00632081">
        <w:t>12,</w:t>
      </w:r>
      <w:r w:rsidR="00D44E06">
        <w:t>5</w:t>
      </w:r>
      <w:r w:rsidR="00632081">
        <w:t>00</w:t>
      </w:r>
      <w:r>
        <w:t>. What is the maximum amount she can contribute as an elective contribution to her employer’s SIMPLE IRA plan in 201</w:t>
      </w:r>
      <w:r w:rsidR="00D44E06">
        <w:t>5</w:t>
      </w:r>
      <w:r>
        <w:t>?</w:t>
      </w:r>
    </w:p>
    <w:p w14:paraId="78C16320" w14:textId="77777777" w:rsidR="00763036" w:rsidRDefault="00763036" w:rsidP="007A5E54">
      <w:pPr>
        <w:numPr>
          <w:ilvl w:val="0"/>
          <w:numId w:val="101"/>
        </w:numPr>
        <w:spacing w:before="120"/>
      </w:pPr>
      <w:r>
        <w:t>$</w:t>
      </w:r>
      <w:r w:rsidR="00632081">
        <w:t>12,</w:t>
      </w:r>
      <w:r w:rsidR="00D44E06">
        <w:t>5</w:t>
      </w:r>
      <w:r w:rsidR="00632081">
        <w:t>00</w:t>
      </w:r>
    </w:p>
    <w:p w14:paraId="2E04AEE6" w14:textId="77777777" w:rsidR="00763036" w:rsidRDefault="00763036" w:rsidP="007A5E54">
      <w:pPr>
        <w:numPr>
          <w:ilvl w:val="0"/>
          <w:numId w:val="101"/>
        </w:numPr>
        <w:spacing w:before="120"/>
      </w:pPr>
      <w:r>
        <w:t>$5,</w:t>
      </w:r>
      <w:r w:rsidR="00BA0F90">
        <w:t>5</w:t>
      </w:r>
      <w:r>
        <w:t>00</w:t>
      </w:r>
    </w:p>
    <w:p w14:paraId="04B6732B" w14:textId="77777777" w:rsidR="00763036" w:rsidRDefault="00763036" w:rsidP="007A5E54">
      <w:pPr>
        <w:numPr>
          <w:ilvl w:val="0"/>
          <w:numId w:val="101"/>
        </w:numPr>
        <w:spacing w:before="120"/>
      </w:pPr>
      <w:r>
        <w:t>$</w:t>
      </w:r>
      <w:r w:rsidR="00D44E06">
        <w:t>18,000</w:t>
      </w:r>
    </w:p>
    <w:p w14:paraId="666CE247" w14:textId="77777777" w:rsidR="00763036" w:rsidRDefault="00763036" w:rsidP="007A5E54">
      <w:pPr>
        <w:numPr>
          <w:ilvl w:val="0"/>
          <w:numId w:val="101"/>
        </w:numPr>
        <w:spacing w:before="120"/>
      </w:pPr>
      <w:r>
        <w:t>$0</w:t>
      </w:r>
    </w:p>
    <w:p w14:paraId="7A31BDB1" w14:textId="77777777" w:rsidR="00763036" w:rsidRDefault="00763036" w:rsidP="00763036">
      <w:pPr>
        <w:ind w:left="360" w:hanging="360"/>
      </w:pPr>
      <w:r>
        <w:t>3.   Henry, age 55, is a participant in his employer’s SIMPLE IRA plan. If he earns $100,000 in 201</w:t>
      </w:r>
      <w:r w:rsidR="00D44E06">
        <w:t>5</w:t>
      </w:r>
      <w:r>
        <w:t>, what is the maximum amount he may defer under the plan?</w:t>
      </w:r>
    </w:p>
    <w:p w14:paraId="614731D3" w14:textId="77777777" w:rsidR="00763036" w:rsidRDefault="00763036" w:rsidP="007A5E54">
      <w:pPr>
        <w:numPr>
          <w:ilvl w:val="0"/>
          <w:numId w:val="103"/>
        </w:numPr>
        <w:spacing w:before="120"/>
      </w:pPr>
      <w:r>
        <w:t>$</w:t>
      </w:r>
      <w:r w:rsidR="00212181">
        <w:t>18,000</w:t>
      </w:r>
    </w:p>
    <w:p w14:paraId="034F55AE" w14:textId="77777777" w:rsidR="00763036" w:rsidRDefault="00763036" w:rsidP="007A5E54">
      <w:pPr>
        <w:numPr>
          <w:ilvl w:val="0"/>
          <w:numId w:val="103"/>
        </w:numPr>
        <w:spacing w:before="120"/>
      </w:pPr>
      <w:r>
        <w:t>$</w:t>
      </w:r>
      <w:r w:rsidR="00212181">
        <w:t>24,000</w:t>
      </w:r>
    </w:p>
    <w:p w14:paraId="1596A884" w14:textId="77777777" w:rsidR="00763036" w:rsidRDefault="00763036" w:rsidP="007A5E54">
      <w:pPr>
        <w:numPr>
          <w:ilvl w:val="0"/>
          <w:numId w:val="103"/>
        </w:numPr>
        <w:spacing w:before="120"/>
      </w:pPr>
      <w:r>
        <w:t>$</w:t>
      </w:r>
      <w:r w:rsidR="00564918">
        <w:t>12,</w:t>
      </w:r>
      <w:r w:rsidR="00212181">
        <w:t>5</w:t>
      </w:r>
      <w:r w:rsidR="00564918">
        <w:t>00</w:t>
      </w:r>
    </w:p>
    <w:p w14:paraId="4FCB7B30" w14:textId="77777777" w:rsidR="00763036" w:rsidRDefault="00763036" w:rsidP="007A5E54">
      <w:pPr>
        <w:numPr>
          <w:ilvl w:val="0"/>
          <w:numId w:val="103"/>
        </w:numPr>
        <w:spacing w:before="120"/>
      </w:pPr>
      <w:r>
        <w:t>$1</w:t>
      </w:r>
      <w:r w:rsidR="00212181">
        <w:t>5</w:t>
      </w:r>
      <w:r>
        <w:t>,</w:t>
      </w:r>
      <w:r w:rsidR="00564918">
        <w:t>5</w:t>
      </w:r>
      <w:r>
        <w:t>00</w:t>
      </w:r>
    </w:p>
    <w:p w14:paraId="4C41C9DC" w14:textId="77777777" w:rsidR="00E53F3E" w:rsidRDefault="00E53F3E" w:rsidP="00825E0B">
      <w:pPr>
        <w:rPr>
          <w:szCs w:val="22"/>
        </w:rPr>
        <w:sectPr w:rsidR="00E53F3E" w:rsidSect="00297ACB">
          <w:headerReference w:type="default" r:id="rId21"/>
          <w:footerReference w:type="first" r:id="rId22"/>
          <w:pgSz w:w="12240" w:h="15840"/>
          <w:pgMar w:top="2160" w:right="1440" w:bottom="1440" w:left="1800" w:header="720" w:footer="720" w:gutter="0"/>
          <w:cols w:space="720"/>
          <w:titlePg/>
          <w:docGrid w:linePitch="299"/>
        </w:sectPr>
      </w:pPr>
    </w:p>
    <w:p w14:paraId="12E9EC91" w14:textId="77777777" w:rsidR="00663E24" w:rsidRPr="00663E24" w:rsidRDefault="00663E24" w:rsidP="00D16E62">
      <w:pPr>
        <w:pStyle w:val="Heading1"/>
      </w:pPr>
      <w:bookmarkStart w:id="195" w:name="_Toc48025288"/>
      <w:bookmarkStart w:id="196" w:name="_Toc404357255"/>
      <w:r>
        <w:lastRenderedPageBreak/>
        <w:t>Glossary</w:t>
      </w:r>
      <w:bookmarkEnd w:id="195"/>
      <w:bookmarkEnd w:id="196"/>
    </w:p>
    <w:tbl>
      <w:tblPr>
        <w:tblW w:w="0" w:type="auto"/>
        <w:tblLook w:val="01E0" w:firstRow="1" w:lastRow="1" w:firstColumn="1" w:lastColumn="1" w:noHBand="0" w:noVBand="0"/>
      </w:tblPr>
      <w:tblGrid>
        <w:gridCol w:w="2178"/>
        <w:gridCol w:w="6678"/>
      </w:tblGrid>
      <w:tr w:rsidR="00481F1D" w:rsidRPr="006D389B" w14:paraId="4AFEF06A" w14:textId="77777777" w:rsidTr="006D389B">
        <w:tc>
          <w:tcPr>
            <w:tcW w:w="2178" w:type="dxa"/>
          </w:tcPr>
          <w:p w14:paraId="332542E1" w14:textId="77777777" w:rsidR="00481F1D" w:rsidRPr="006D389B" w:rsidRDefault="00481F1D" w:rsidP="00825E0B">
            <w:pPr>
              <w:rPr>
                <w:b/>
                <w:szCs w:val="22"/>
              </w:rPr>
            </w:pPr>
            <w:r w:rsidRPr="006D389B">
              <w:rPr>
                <w:b/>
                <w:szCs w:val="22"/>
              </w:rPr>
              <w:t>Active participant</w:t>
            </w:r>
          </w:p>
        </w:tc>
        <w:tc>
          <w:tcPr>
            <w:tcW w:w="6678" w:type="dxa"/>
          </w:tcPr>
          <w:p w14:paraId="3783812A" w14:textId="77777777" w:rsidR="00481F1D" w:rsidRPr="006D389B" w:rsidRDefault="00481F1D" w:rsidP="00825E0B">
            <w:pPr>
              <w:rPr>
                <w:szCs w:val="22"/>
              </w:rPr>
            </w:pPr>
            <w:r w:rsidRPr="006D389B">
              <w:rPr>
                <w:szCs w:val="22"/>
              </w:rPr>
              <w:t>An active participant</w:t>
            </w:r>
            <w:r w:rsidR="00A95039" w:rsidRPr="006D389B">
              <w:rPr>
                <w:szCs w:val="22"/>
              </w:rPr>
              <w:fldChar w:fldCharType="begin"/>
            </w:r>
            <w:r w:rsidR="00293611">
              <w:instrText xml:space="preserve"> XE "</w:instrText>
            </w:r>
            <w:r w:rsidR="00293611" w:rsidRPr="006D389B">
              <w:rPr>
                <w:szCs w:val="22"/>
              </w:rPr>
              <w:instrText>active participant</w:instrText>
            </w:r>
            <w:r w:rsidR="00293611">
              <w:instrText xml:space="preserve">" </w:instrText>
            </w:r>
            <w:r w:rsidR="00A95039" w:rsidRPr="006D389B">
              <w:rPr>
                <w:szCs w:val="22"/>
              </w:rPr>
              <w:fldChar w:fldCharType="end"/>
            </w:r>
            <w:r w:rsidRPr="006D389B">
              <w:rPr>
                <w:szCs w:val="22"/>
              </w:rPr>
              <w:t xml:space="preserve"> for traditional IRA</w:t>
            </w:r>
            <w:r w:rsidR="00A95039" w:rsidRPr="006D389B">
              <w:rPr>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szCs w:val="22"/>
              </w:rPr>
              <w:fldChar w:fldCharType="end"/>
            </w:r>
            <w:r w:rsidRPr="006D389B">
              <w:rPr>
                <w:szCs w:val="22"/>
              </w:rPr>
              <w:t xml:space="preserve"> purposes is an individual that participates in his or her employer’s retirement plan.</w:t>
            </w:r>
            <w:r w:rsidR="00297ACB" w:rsidRPr="006D389B">
              <w:rPr>
                <w:szCs w:val="22"/>
              </w:rPr>
              <w:t xml:space="preserve"> </w:t>
            </w:r>
            <w:r w:rsidRPr="006D389B">
              <w:rPr>
                <w:szCs w:val="22"/>
              </w:rPr>
              <w:t>An employer-sponsored retirement plan</w:t>
            </w:r>
            <w:r w:rsidR="00A95039" w:rsidRPr="006D389B">
              <w:rPr>
                <w:szCs w:val="22"/>
              </w:rPr>
              <w:fldChar w:fldCharType="begin"/>
            </w:r>
            <w:r w:rsidR="00293611">
              <w:instrText xml:space="preserve"> XE "</w:instrText>
            </w:r>
            <w:r w:rsidR="00293611" w:rsidRPr="006D389B">
              <w:rPr>
                <w:szCs w:val="22"/>
              </w:rPr>
              <w:instrText>employer-sponsored retirement plan</w:instrText>
            </w:r>
            <w:r w:rsidR="00293611">
              <w:instrText xml:space="preserve">" </w:instrText>
            </w:r>
            <w:r w:rsidR="00A95039" w:rsidRPr="006D389B">
              <w:rPr>
                <w:szCs w:val="22"/>
              </w:rPr>
              <w:fldChar w:fldCharType="end"/>
            </w:r>
            <w:r w:rsidRPr="006D389B">
              <w:rPr>
                <w:szCs w:val="22"/>
              </w:rPr>
              <w:t xml:space="preserve"> includes a pension plan, profit sharing plan, 401(k) plan, 403(b) tax sheltered annuity plan, SEP or SIMPLE.</w:t>
            </w:r>
          </w:p>
        </w:tc>
      </w:tr>
      <w:tr w:rsidR="00481F1D" w:rsidRPr="006D389B" w14:paraId="630CDE3C" w14:textId="77777777" w:rsidTr="006D389B">
        <w:tc>
          <w:tcPr>
            <w:tcW w:w="2178" w:type="dxa"/>
          </w:tcPr>
          <w:p w14:paraId="3159E947" w14:textId="77777777" w:rsidR="00481F1D" w:rsidRPr="006D389B" w:rsidRDefault="00481F1D" w:rsidP="00825E0B">
            <w:pPr>
              <w:rPr>
                <w:b/>
                <w:szCs w:val="22"/>
              </w:rPr>
            </w:pPr>
            <w:r w:rsidRPr="006D389B">
              <w:rPr>
                <w:b/>
                <w:szCs w:val="22"/>
              </w:rPr>
              <w:t>Coverdell Education Savings Account</w:t>
            </w:r>
            <w:r w:rsidR="00A95039" w:rsidRPr="006D389B">
              <w:rPr>
                <w:b/>
                <w:szCs w:val="22"/>
              </w:rPr>
              <w:fldChar w:fldCharType="begin"/>
            </w:r>
            <w:r w:rsidR="00293611">
              <w:instrText xml:space="preserve"> XE "</w:instrText>
            </w:r>
            <w:r w:rsidR="00293611" w:rsidRPr="00CD56BD">
              <w:instrText>Coverdell Education Savings Account</w:instrText>
            </w:r>
            <w:r w:rsidR="00293611">
              <w:instrText xml:space="preserve">" </w:instrText>
            </w:r>
            <w:r w:rsidR="00A95039" w:rsidRPr="006D389B">
              <w:rPr>
                <w:b/>
                <w:szCs w:val="22"/>
              </w:rPr>
              <w:fldChar w:fldCharType="end"/>
            </w:r>
            <w:r w:rsidRPr="006D389B">
              <w:rPr>
                <w:b/>
                <w:szCs w:val="22"/>
              </w:rPr>
              <w:t xml:space="preserve"> (ESA)</w:t>
            </w:r>
          </w:p>
        </w:tc>
        <w:tc>
          <w:tcPr>
            <w:tcW w:w="6678" w:type="dxa"/>
          </w:tcPr>
          <w:p w14:paraId="6157094E" w14:textId="77777777" w:rsidR="00481F1D" w:rsidRPr="006D389B" w:rsidRDefault="00481F1D" w:rsidP="00825E0B">
            <w:pPr>
              <w:rPr>
                <w:szCs w:val="22"/>
              </w:rPr>
            </w:pPr>
            <w:r w:rsidRPr="006D389B">
              <w:rPr>
                <w:szCs w:val="22"/>
              </w:rPr>
              <w:t>An ESA is defined as a trust or custodial account</w:t>
            </w:r>
            <w:r w:rsidR="00A95039" w:rsidRPr="006D389B">
              <w:rPr>
                <w:szCs w:val="22"/>
              </w:rPr>
              <w:fldChar w:fldCharType="begin"/>
            </w:r>
            <w:r w:rsidR="00293611">
              <w:instrText xml:space="preserve"> XE "</w:instrText>
            </w:r>
            <w:r w:rsidR="00293611" w:rsidRPr="006D389B">
              <w:rPr>
                <w:szCs w:val="22"/>
              </w:rPr>
              <w:instrText>trust or custodial account</w:instrText>
            </w:r>
            <w:r w:rsidR="00293611">
              <w:instrText xml:space="preserve">" </w:instrText>
            </w:r>
            <w:r w:rsidR="00A95039" w:rsidRPr="006D389B">
              <w:rPr>
                <w:szCs w:val="22"/>
              </w:rPr>
              <w:fldChar w:fldCharType="end"/>
            </w:r>
            <w:r w:rsidRPr="006D389B">
              <w:rPr>
                <w:szCs w:val="22"/>
              </w:rPr>
              <w:t xml:space="preserve"> designed to enable the individual to save education funds on a tax-deferred basis and make tax-free withdrawals to pay for qualified education expenses</w:t>
            </w:r>
            <w:r w:rsidR="00A95039" w:rsidRPr="006D389B">
              <w:rPr>
                <w:szCs w:val="22"/>
              </w:rPr>
              <w:fldChar w:fldCharType="begin"/>
            </w:r>
            <w:r w:rsidR="00500F1D">
              <w:instrText xml:space="preserve"> XE "</w:instrText>
            </w:r>
            <w:r w:rsidR="00500F1D" w:rsidRPr="006D389B">
              <w:rPr>
                <w:szCs w:val="22"/>
              </w:rPr>
              <w:instrText>qualified education expenses</w:instrText>
            </w:r>
            <w:r w:rsidR="00500F1D">
              <w:instrText xml:space="preserve">" </w:instrText>
            </w:r>
            <w:r w:rsidR="00A95039" w:rsidRPr="006D389B">
              <w:rPr>
                <w:szCs w:val="22"/>
              </w:rPr>
              <w:fldChar w:fldCharType="end"/>
            </w:r>
            <w:r w:rsidRPr="006D389B">
              <w:rPr>
                <w:szCs w:val="22"/>
              </w:rPr>
              <w:t>.</w:t>
            </w:r>
            <w:r w:rsidR="00297ACB" w:rsidRPr="006D389B">
              <w:rPr>
                <w:szCs w:val="22"/>
              </w:rPr>
              <w:t xml:space="preserve"> </w:t>
            </w:r>
            <w:r w:rsidR="00F54499" w:rsidRPr="006D389B">
              <w:rPr>
                <w:szCs w:val="22"/>
              </w:rPr>
              <w:t>T</w:t>
            </w:r>
            <w:r w:rsidRPr="006D389B">
              <w:rPr>
                <w:szCs w:val="22"/>
              </w:rPr>
              <w:t xml:space="preserve">he amount that an individual can put into an ESA each year </w:t>
            </w:r>
            <w:r w:rsidR="00F54499" w:rsidRPr="006D389B">
              <w:rPr>
                <w:szCs w:val="22"/>
              </w:rPr>
              <w:t xml:space="preserve">for any qualified beneficiary </w:t>
            </w:r>
            <w:r w:rsidRPr="006D389B">
              <w:rPr>
                <w:szCs w:val="22"/>
              </w:rPr>
              <w:t>is $2,000.</w:t>
            </w:r>
          </w:p>
        </w:tc>
      </w:tr>
      <w:tr w:rsidR="00481F1D" w:rsidRPr="006D389B" w14:paraId="3C4A6863" w14:textId="77777777" w:rsidTr="006D389B">
        <w:tc>
          <w:tcPr>
            <w:tcW w:w="2178" w:type="dxa"/>
          </w:tcPr>
          <w:p w14:paraId="7FB68905" w14:textId="77777777" w:rsidR="00481F1D" w:rsidRPr="006D389B" w:rsidRDefault="00481F1D" w:rsidP="00825E0B">
            <w:pPr>
              <w:rPr>
                <w:b/>
                <w:szCs w:val="22"/>
              </w:rPr>
            </w:pPr>
            <w:r w:rsidRPr="006D389B">
              <w:rPr>
                <w:b/>
                <w:szCs w:val="22"/>
              </w:rPr>
              <w:t>Custodial account</w:t>
            </w:r>
          </w:p>
        </w:tc>
        <w:tc>
          <w:tcPr>
            <w:tcW w:w="6678" w:type="dxa"/>
          </w:tcPr>
          <w:p w14:paraId="18B3943B" w14:textId="77777777" w:rsidR="00481F1D" w:rsidRPr="006D389B" w:rsidRDefault="00684109" w:rsidP="00825E0B">
            <w:pPr>
              <w:rPr>
                <w:szCs w:val="22"/>
              </w:rPr>
            </w:pPr>
            <w:r w:rsidRPr="006D389B">
              <w:rPr>
                <w:szCs w:val="22"/>
              </w:rPr>
              <w:t>A custodial account is an account managed by someone other than the beneficial owner; often the custodian is a professional.</w:t>
            </w:r>
            <w:r w:rsidR="00297ACB" w:rsidRPr="006D389B">
              <w:rPr>
                <w:szCs w:val="22"/>
              </w:rPr>
              <w:t xml:space="preserve"> </w:t>
            </w:r>
            <w:r w:rsidR="00481F1D" w:rsidRPr="006D389B">
              <w:rPr>
                <w:szCs w:val="22"/>
              </w:rPr>
              <w:t>IRA funds contributed to a custodial account may be placed in a broad range of investments, including mutual funds, stocks, bonds, savings accounts, CDs and certain gold and silver coins.</w:t>
            </w:r>
          </w:p>
        </w:tc>
      </w:tr>
      <w:tr w:rsidR="00481F1D" w:rsidRPr="006D389B" w14:paraId="68AC5317" w14:textId="77777777" w:rsidTr="006D389B">
        <w:tc>
          <w:tcPr>
            <w:tcW w:w="2178" w:type="dxa"/>
          </w:tcPr>
          <w:p w14:paraId="0D936659" w14:textId="77777777" w:rsidR="00481F1D" w:rsidRPr="006D389B" w:rsidRDefault="00481F1D" w:rsidP="00825E0B">
            <w:pPr>
              <w:rPr>
                <w:b/>
                <w:szCs w:val="22"/>
              </w:rPr>
            </w:pPr>
            <w:r w:rsidRPr="006D389B">
              <w:rPr>
                <w:b/>
                <w:szCs w:val="22"/>
              </w:rPr>
              <w:t>Earned income</w:t>
            </w:r>
          </w:p>
        </w:tc>
        <w:tc>
          <w:tcPr>
            <w:tcW w:w="6678" w:type="dxa"/>
          </w:tcPr>
          <w:p w14:paraId="6ACA29A3" w14:textId="77777777" w:rsidR="00481F1D" w:rsidRPr="006D389B" w:rsidRDefault="00481F1D" w:rsidP="00825E0B">
            <w:pPr>
              <w:rPr>
                <w:szCs w:val="22"/>
              </w:rPr>
            </w:pPr>
            <w:r w:rsidRPr="006D389B">
              <w:rPr>
                <w:szCs w:val="22"/>
              </w:rPr>
              <w:t>The IRA legislation defines earned income</w:t>
            </w:r>
            <w:r w:rsidR="00A95039" w:rsidRPr="006D389B">
              <w:rPr>
                <w:szCs w:val="22"/>
              </w:rPr>
              <w:fldChar w:fldCharType="begin"/>
            </w:r>
            <w:r w:rsidR="00293611">
              <w:instrText xml:space="preserve"> XE "</w:instrText>
            </w:r>
            <w:r w:rsidR="00293611" w:rsidRPr="006D389B">
              <w:rPr>
                <w:szCs w:val="22"/>
              </w:rPr>
              <w:instrText>earned income</w:instrText>
            </w:r>
            <w:r w:rsidR="00293611">
              <w:instrText xml:space="preserve">" </w:instrText>
            </w:r>
            <w:r w:rsidR="00A95039" w:rsidRPr="006D389B">
              <w:rPr>
                <w:szCs w:val="22"/>
              </w:rPr>
              <w:fldChar w:fldCharType="end"/>
            </w:r>
            <w:r w:rsidRPr="006D389B">
              <w:rPr>
                <w:szCs w:val="22"/>
              </w:rPr>
              <w:t xml:space="preserve"> as salary, bonus, fees, commissions, tips and alimony</w:t>
            </w:r>
            <w:r w:rsidR="00A95039" w:rsidRPr="006D389B">
              <w:rPr>
                <w:szCs w:val="22"/>
              </w:rPr>
              <w:fldChar w:fldCharType="begin"/>
            </w:r>
            <w:r w:rsidR="00293611">
              <w:instrText xml:space="preserve"> XE "</w:instrText>
            </w:r>
            <w:r w:rsidR="00293611" w:rsidRPr="006D389B">
              <w:rPr>
                <w:szCs w:val="22"/>
              </w:rPr>
              <w:instrText>alimony</w:instrText>
            </w:r>
            <w:r w:rsidR="00293611">
              <w:instrText xml:space="preserve">" </w:instrText>
            </w:r>
            <w:r w:rsidR="00A95039" w:rsidRPr="006D389B">
              <w:rPr>
                <w:szCs w:val="22"/>
              </w:rPr>
              <w:fldChar w:fldCharType="end"/>
            </w:r>
            <w:r w:rsidRPr="006D389B">
              <w:rPr>
                <w:szCs w:val="22"/>
              </w:rPr>
              <w:t>.</w:t>
            </w:r>
          </w:p>
        </w:tc>
      </w:tr>
      <w:tr w:rsidR="00481F1D" w:rsidRPr="006D389B" w14:paraId="11CE4185" w14:textId="77777777" w:rsidTr="006D389B">
        <w:tc>
          <w:tcPr>
            <w:tcW w:w="2178" w:type="dxa"/>
          </w:tcPr>
          <w:p w14:paraId="35FC8361" w14:textId="77777777" w:rsidR="00481F1D" w:rsidRPr="006D389B" w:rsidRDefault="00481F1D" w:rsidP="00825E0B">
            <w:pPr>
              <w:rPr>
                <w:b/>
                <w:szCs w:val="22"/>
              </w:rPr>
            </w:pPr>
            <w:r w:rsidRPr="006D389B">
              <w:rPr>
                <w:b/>
                <w:szCs w:val="22"/>
              </w:rPr>
              <w:t>EGTRRA</w:t>
            </w:r>
          </w:p>
        </w:tc>
        <w:tc>
          <w:tcPr>
            <w:tcW w:w="6678" w:type="dxa"/>
          </w:tcPr>
          <w:p w14:paraId="3348FAE7" w14:textId="77777777" w:rsidR="00481F1D" w:rsidRPr="006D389B" w:rsidRDefault="00481F1D" w:rsidP="00825E0B">
            <w:pPr>
              <w:rPr>
                <w:szCs w:val="22"/>
              </w:rPr>
            </w:pPr>
            <w:r w:rsidRPr="006D389B">
              <w:rPr>
                <w:szCs w:val="22"/>
              </w:rPr>
              <w:t>EGTRRA is the Economic Growth and Tax Relief Reconciliation Act of 2001</w:t>
            </w:r>
            <w:r w:rsidR="00A95039" w:rsidRPr="006D389B">
              <w:rPr>
                <w:szCs w:val="22"/>
              </w:rPr>
              <w:fldChar w:fldCharType="begin"/>
            </w:r>
            <w:r w:rsidR="00293611">
              <w:instrText xml:space="preserve"> XE "</w:instrText>
            </w:r>
            <w:r w:rsidR="00293611" w:rsidRPr="006D389B">
              <w:rPr>
                <w:szCs w:val="22"/>
              </w:rPr>
              <w:instrText>Economic Growth and Tax Relief Reconciliation Act of 2001</w:instrText>
            </w:r>
            <w:r w:rsidR="00293611">
              <w:instrText xml:space="preserve">" </w:instrText>
            </w:r>
            <w:r w:rsidR="00A95039" w:rsidRPr="006D389B">
              <w:rPr>
                <w:szCs w:val="22"/>
              </w:rPr>
              <w:fldChar w:fldCharType="end"/>
            </w:r>
            <w:r w:rsidRPr="006D389B">
              <w:rPr>
                <w:szCs w:val="22"/>
              </w:rPr>
              <w:t>, legislation that has a significant impact on IRA and other contribution limits</w:t>
            </w:r>
            <w:r w:rsidR="00A95039" w:rsidRPr="006D389B">
              <w:rPr>
                <w:szCs w:val="22"/>
              </w:rPr>
              <w:fldChar w:fldCharType="begin"/>
            </w:r>
            <w:r w:rsidR="00293611">
              <w:instrText xml:space="preserve"> XE "</w:instrText>
            </w:r>
            <w:r w:rsidR="00293611" w:rsidRPr="006D389B">
              <w:rPr>
                <w:szCs w:val="22"/>
              </w:rPr>
              <w:instrText>contribution limits</w:instrText>
            </w:r>
            <w:r w:rsidR="00293611">
              <w:instrText xml:space="preserve">" </w:instrText>
            </w:r>
            <w:r w:rsidR="00A95039" w:rsidRPr="006D389B">
              <w:rPr>
                <w:szCs w:val="22"/>
              </w:rPr>
              <w:fldChar w:fldCharType="end"/>
            </w:r>
            <w:r w:rsidRPr="006D389B">
              <w:rPr>
                <w:szCs w:val="22"/>
              </w:rPr>
              <w:t>.</w:t>
            </w:r>
          </w:p>
        </w:tc>
      </w:tr>
      <w:tr w:rsidR="00481F1D" w:rsidRPr="006D389B" w14:paraId="50EFC616" w14:textId="77777777" w:rsidTr="006D389B">
        <w:tc>
          <w:tcPr>
            <w:tcW w:w="2178" w:type="dxa"/>
          </w:tcPr>
          <w:p w14:paraId="30B43760" w14:textId="77777777" w:rsidR="00481F1D" w:rsidRPr="006D389B" w:rsidRDefault="00481F1D" w:rsidP="00825E0B">
            <w:pPr>
              <w:rPr>
                <w:b/>
                <w:szCs w:val="22"/>
              </w:rPr>
            </w:pPr>
            <w:r w:rsidRPr="006D389B">
              <w:rPr>
                <w:b/>
                <w:szCs w:val="22"/>
              </w:rPr>
              <w:t>Elective contributions</w:t>
            </w:r>
          </w:p>
        </w:tc>
        <w:tc>
          <w:tcPr>
            <w:tcW w:w="6678" w:type="dxa"/>
          </w:tcPr>
          <w:p w14:paraId="0CBD303A" w14:textId="77777777" w:rsidR="00481F1D" w:rsidRPr="006D389B" w:rsidRDefault="00481F1D" w:rsidP="00825E0B">
            <w:pPr>
              <w:rPr>
                <w:szCs w:val="22"/>
              </w:rPr>
            </w:pPr>
            <w:r w:rsidRPr="006D389B">
              <w:rPr>
                <w:szCs w:val="22"/>
              </w:rPr>
              <w:t>Employee elective contributions</w:t>
            </w:r>
            <w:r w:rsidR="00A95039" w:rsidRPr="006D389B">
              <w:rPr>
                <w:szCs w:val="22"/>
              </w:rPr>
              <w:fldChar w:fldCharType="begin"/>
            </w:r>
            <w:r w:rsidR="00500F1D">
              <w:instrText xml:space="preserve"> XE "</w:instrText>
            </w:r>
            <w:r w:rsidR="00500F1D" w:rsidRPr="006D389B">
              <w:rPr>
                <w:szCs w:val="22"/>
              </w:rPr>
              <w:instrText>SIMPLE employee elective contributions</w:instrText>
            </w:r>
            <w:r w:rsidR="00500F1D">
              <w:instrText xml:space="preserve">" </w:instrText>
            </w:r>
            <w:r w:rsidR="00A95039" w:rsidRPr="006D389B">
              <w:rPr>
                <w:szCs w:val="22"/>
              </w:rPr>
              <w:fldChar w:fldCharType="end"/>
            </w:r>
            <w:r w:rsidRPr="006D389B">
              <w:rPr>
                <w:szCs w:val="22"/>
              </w:rPr>
              <w:t xml:space="preserve"> to a SIMPLE IRA are made under a qualified salary reduction arrangement</w:t>
            </w:r>
            <w:r w:rsidR="00A95039" w:rsidRPr="006D389B">
              <w:rPr>
                <w:szCs w:val="22"/>
              </w:rPr>
              <w:fldChar w:fldCharType="begin"/>
            </w:r>
            <w:r w:rsidR="00500F1D">
              <w:instrText xml:space="preserve"> XE "</w:instrText>
            </w:r>
            <w:r w:rsidR="00500F1D" w:rsidRPr="006D389B">
              <w:rPr>
                <w:szCs w:val="22"/>
              </w:rPr>
              <w:instrText>salary reduction arrangement</w:instrText>
            </w:r>
            <w:r w:rsidR="00500F1D">
              <w:instrText xml:space="preserve">" </w:instrText>
            </w:r>
            <w:r w:rsidR="00A95039" w:rsidRPr="006D389B">
              <w:rPr>
                <w:szCs w:val="22"/>
              </w:rPr>
              <w:fldChar w:fldCharType="end"/>
            </w:r>
            <w:r w:rsidRPr="006D389B">
              <w:rPr>
                <w:szCs w:val="22"/>
              </w:rPr>
              <w:t>.</w:t>
            </w:r>
            <w:r w:rsidR="00297ACB" w:rsidRPr="006D389B">
              <w:rPr>
                <w:szCs w:val="22"/>
              </w:rPr>
              <w:t xml:space="preserve"> </w:t>
            </w:r>
            <w:r w:rsidRPr="006D389B">
              <w:rPr>
                <w:szCs w:val="22"/>
              </w:rPr>
              <w:t>A qualified salary reduction arrangement is a written arrangement of an eligible employer under which employees that are eligible to participate may elect to receive payments in cash or contribute them to a SIMPLE IRA.</w:t>
            </w:r>
          </w:p>
        </w:tc>
      </w:tr>
      <w:tr w:rsidR="00481F1D" w:rsidRPr="006D389B" w14:paraId="0BC54B34" w14:textId="77777777" w:rsidTr="006D389B">
        <w:tc>
          <w:tcPr>
            <w:tcW w:w="2178" w:type="dxa"/>
          </w:tcPr>
          <w:p w14:paraId="198F097E" w14:textId="77777777" w:rsidR="00481F1D" w:rsidRPr="006D389B" w:rsidRDefault="00481F1D" w:rsidP="00825E0B">
            <w:pPr>
              <w:rPr>
                <w:b/>
                <w:szCs w:val="22"/>
              </w:rPr>
            </w:pPr>
            <w:r w:rsidRPr="006D389B">
              <w:rPr>
                <w:b/>
                <w:szCs w:val="22"/>
              </w:rPr>
              <w:t>Eligible educational institution</w:t>
            </w:r>
          </w:p>
        </w:tc>
        <w:tc>
          <w:tcPr>
            <w:tcW w:w="6678" w:type="dxa"/>
          </w:tcPr>
          <w:p w14:paraId="1F6BF5E6" w14:textId="77777777" w:rsidR="00481F1D" w:rsidRPr="006D389B" w:rsidRDefault="00481F1D" w:rsidP="00825E0B">
            <w:pPr>
              <w:rPr>
                <w:i/>
                <w:szCs w:val="22"/>
              </w:rPr>
            </w:pPr>
            <w:r w:rsidRPr="006D389B">
              <w:rPr>
                <w:szCs w:val="22"/>
              </w:rPr>
              <w:t xml:space="preserve">The definition of </w:t>
            </w:r>
            <w:r w:rsidR="00297ACB" w:rsidRPr="006D389B">
              <w:rPr>
                <w:szCs w:val="22"/>
              </w:rPr>
              <w:t>“</w:t>
            </w:r>
            <w:r w:rsidRPr="006D389B">
              <w:rPr>
                <w:szCs w:val="22"/>
              </w:rPr>
              <w:t>eligible educational institution</w:t>
            </w:r>
            <w:r w:rsidR="00A95039" w:rsidRPr="006D389B">
              <w:rPr>
                <w:szCs w:val="22"/>
              </w:rPr>
              <w:fldChar w:fldCharType="begin"/>
            </w:r>
            <w:r w:rsidR="00500F1D">
              <w:instrText xml:space="preserve"> XE "</w:instrText>
            </w:r>
            <w:r w:rsidR="00500F1D" w:rsidRPr="006D389B">
              <w:rPr>
                <w:szCs w:val="22"/>
              </w:rPr>
              <w:instrText>eligible educational institution</w:instrText>
            </w:r>
            <w:r w:rsidR="00500F1D">
              <w:instrText xml:space="preserve">" </w:instrText>
            </w:r>
            <w:r w:rsidR="00A95039" w:rsidRPr="006D389B">
              <w:rPr>
                <w:szCs w:val="22"/>
              </w:rPr>
              <w:fldChar w:fldCharType="end"/>
            </w:r>
            <w:r w:rsidR="00297ACB" w:rsidRPr="006D389B">
              <w:rPr>
                <w:szCs w:val="22"/>
              </w:rPr>
              <w:t>”</w:t>
            </w:r>
            <w:r w:rsidRPr="006D389B">
              <w:rPr>
                <w:szCs w:val="22"/>
              </w:rPr>
              <w:t xml:space="preserve"> </w:t>
            </w:r>
            <w:r w:rsidR="00564918">
              <w:rPr>
                <w:szCs w:val="22"/>
              </w:rPr>
              <w:t>when used in connection with a Coverdell ESA</w:t>
            </w:r>
            <w:r w:rsidR="00564918" w:rsidRPr="006D389B">
              <w:rPr>
                <w:szCs w:val="22"/>
              </w:rPr>
              <w:t xml:space="preserve"> </w:t>
            </w:r>
            <w:r w:rsidRPr="006D389B">
              <w:rPr>
                <w:szCs w:val="22"/>
              </w:rPr>
              <w:t>is remarkably broad and covers virtually all accredited public, nonprofit and proprietary educational institutions.</w:t>
            </w:r>
            <w:r w:rsidR="00297ACB" w:rsidRPr="006D389B">
              <w:rPr>
                <w:szCs w:val="22"/>
              </w:rPr>
              <w:t xml:space="preserve"> </w:t>
            </w:r>
            <w:r w:rsidRPr="006D389B">
              <w:rPr>
                <w:szCs w:val="22"/>
              </w:rPr>
              <w:t xml:space="preserve">An eligible educational institution </w:t>
            </w:r>
            <w:r w:rsidR="00564918">
              <w:rPr>
                <w:szCs w:val="22"/>
              </w:rPr>
              <w:t xml:space="preserve">for purposes of a Coverdell ESA </w:t>
            </w:r>
            <w:r w:rsidRPr="006D389B">
              <w:rPr>
                <w:szCs w:val="22"/>
              </w:rPr>
              <w:t>is any college, university, vocational school or other elementary, secondary or postsecondary institution.</w:t>
            </w:r>
          </w:p>
        </w:tc>
      </w:tr>
    </w:tbl>
    <w:p w14:paraId="2AE2CAC8" w14:textId="77777777" w:rsidR="00D16E62" w:rsidRDefault="00D16E62">
      <w:r>
        <w:br w:type="page"/>
      </w:r>
    </w:p>
    <w:tbl>
      <w:tblPr>
        <w:tblW w:w="0" w:type="auto"/>
        <w:tblLook w:val="01E0" w:firstRow="1" w:lastRow="1" w:firstColumn="1" w:lastColumn="1" w:noHBand="0" w:noVBand="0"/>
      </w:tblPr>
      <w:tblGrid>
        <w:gridCol w:w="2178"/>
        <w:gridCol w:w="6678"/>
      </w:tblGrid>
      <w:tr w:rsidR="00481F1D" w:rsidRPr="006D389B" w14:paraId="0FEFA15B" w14:textId="77777777" w:rsidTr="006D389B">
        <w:tc>
          <w:tcPr>
            <w:tcW w:w="2178" w:type="dxa"/>
          </w:tcPr>
          <w:p w14:paraId="598A19AB" w14:textId="77777777" w:rsidR="00481F1D" w:rsidRPr="006D389B" w:rsidRDefault="00481F1D" w:rsidP="00825E0B">
            <w:pPr>
              <w:rPr>
                <w:b/>
                <w:szCs w:val="22"/>
              </w:rPr>
            </w:pPr>
            <w:r w:rsidRPr="006D389B">
              <w:rPr>
                <w:b/>
                <w:szCs w:val="22"/>
              </w:rPr>
              <w:lastRenderedPageBreak/>
              <w:t>Eligible rollover</w:t>
            </w:r>
            <w:r w:rsidR="00A95039" w:rsidRPr="006D389B">
              <w:rPr>
                <w:b/>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b/>
                <w:szCs w:val="22"/>
              </w:rPr>
              <w:fldChar w:fldCharType="end"/>
            </w:r>
            <w:r w:rsidRPr="006D389B">
              <w:rPr>
                <w:b/>
                <w:szCs w:val="22"/>
              </w:rPr>
              <w:t xml:space="preserve"> distribution</w:t>
            </w:r>
          </w:p>
        </w:tc>
        <w:tc>
          <w:tcPr>
            <w:tcW w:w="6678" w:type="dxa"/>
          </w:tcPr>
          <w:p w14:paraId="2207AC1C" w14:textId="77777777" w:rsidR="001D0C0A" w:rsidRPr="006D389B" w:rsidRDefault="00481F1D" w:rsidP="00825E0B">
            <w:pPr>
              <w:rPr>
                <w:szCs w:val="22"/>
              </w:rPr>
            </w:pPr>
            <w:r w:rsidRPr="006D389B">
              <w:rPr>
                <w:szCs w:val="22"/>
              </w:rPr>
              <w:t>An eligible rollover</w:t>
            </w:r>
            <w:r w:rsidR="00A95039" w:rsidRPr="006D389B">
              <w:rPr>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szCs w:val="22"/>
              </w:rPr>
              <w:fldChar w:fldCharType="end"/>
            </w:r>
            <w:r w:rsidRPr="006D389B">
              <w:rPr>
                <w:szCs w:val="22"/>
              </w:rPr>
              <w:t xml:space="preserve"> distribution is any distribution made to an employee of the funds to his or her credit in a qualified trust EXCEPT for a distribution that is:</w:t>
            </w:r>
          </w:p>
          <w:p w14:paraId="1B6272BC" w14:textId="77777777" w:rsidR="00481F1D" w:rsidRPr="001C3753" w:rsidRDefault="00481F1D" w:rsidP="007A5E54">
            <w:pPr>
              <w:numPr>
                <w:ilvl w:val="0"/>
                <w:numId w:val="39"/>
              </w:numPr>
              <w:contextualSpacing/>
            </w:pPr>
            <w:r w:rsidRPr="001C3753">
              <w:t>part of a series of substantially equal payments made over the employee’s life expectancy</w:t>
            </w:r>
          </w:p>
          <w:p w14:paraId="2AD8517E" w14:textId="77777777" w:rsidR="00481F1D" w:rsidRPr="001C3753" w:rsidRDefault="00481F1D" w:rsidP="007A5E54">
            <w:pPr>
              <w:numPr>
                <w:ilvl w:val="0"/>
                <w:numId w:val="39"/>
              </w:numPr>
              <w:contextualSpacing/>
            </w:pPr>
            <w:r w:rsidRPr="001C3753">
              <w:t>made for a specified period of 10 years or more</w:t>
            </w:r>
          </w:p>
          <w:p w14:paraId="47BB1548" w14:textId="77777777" w:rsidR="00481F1D" w:rsidRPr="001C3753" w:rsidRDefault="00481F1D" w:rsidP="007A5E54">
            <w:pPr>
              <w:numPr>
                <w:ilvl w:val="0"/>
                <w:numId w:val="39"/>
              </w:numPr>
              <w:contextualSpacing/>
            </w:pPr>
            <w:r w:rsidRPr="001C3753">
              <w:t>a required minimum distribution or</w:t>
            </w:r>
          </w:p>
          <w:p w14:paraId="6F2C4212" w14:textId="77777777" w:rsidR="00481F1D" w:rsidRPr="001C3753" w:rsidRDefault="00481F1D" w:rsidP="007A5E54">
            <w:pPr>
              <w:numPr>
                <w:ilvl w:val="0"/>
                <w:numId w:val="39"/>
              </w:numPr>
            </w:pPr>
            <w:r w:rsidRPr="001C3753">
              <w:t>a hardship distribution</w:t>
            </w:r>
          </w:p>
        </w:tc>
      </w:tr>
      <w:tr w:rsidR="00481F1D" w:rsidRPr="006D389B" w14:paraId="2660D688" w14:textId="77777777" w:rsidTr="006D389B">
        <w:tc>
          <w:tcPr>
            <w:tcW w:w="2178" w:type="dxa"/>
          </w:tcPr>
          <w:p w14:paraId="770DDA6D" w14:textId="77777777" w:rsidR="00481F1D" w:rsidRPr="006D389B" w:rsidRDefault="00481F1D" w:rsidP="00825E0B">
            <w:pPr>
              <w:rPr>
                <w:b/>
                <w:szCs w:val="22"/>
              </w:rPr>
            </w:pPr>
            <w:r w:rsidRPr="006D389B">
              <w:rPr>
                <w:b/>
                <w:szCs w:val="22"/>
              </w:rPr>
              <w:t>FIFO tax treatment</w:t>
            </w:r>
            <w:r w:rsidR="00A95039" w:rsidRPr="006D389B">
              <w:rPr>
                <w:b/>
                <w:szCs w:val="22"/>
              </w:rPr>
              <w:fldChar w:fldCharType="begin"/>
            </w:r>
            <w:r w:rsidR="00293611">
              <w:instrText xml:space="preserve"> XE "</w:instrText>
            </w:r>
            <w:r w:rsidR="00293611" w:rsidRPr="006D389B">
              <w:rPr>
                <w:szCs w:val="22"/>
              </w:rPr>
              <w:instrText>FIFO tax treatment</w:instrText>
            </w:r>
            <w:r w:rsidR="00293611">
              <w:instrText xml:space="preserve">" </w:instrText>
            </w:r>
            <w:r w:rsidR="00A95039" w:rsidRPr="006D389B">
              <w:rPr>
                <w:b/>
                <w:szCs w:val="22"/>
              </w:rPr>
              <w:fldChar w:fldCharType="end"/>
            </w:r>
            <w:r w:rsidR="003644B8" w:rsidRPr="006D389B">
              <w:rPr>
                <w:b/>
                <w:szCs w:val="22"/>
              </w:rPr>
              <w:t xml:space="preserve"> (Roth IRAs</w:t>
            </w:r>
            <w:r w:rsidR="00A95039" w:rsidRPr="006D389B">
              <w:rPr>
                <w:b/>
                <w:szCs w:val="22"/>
              </w:rPr>
              <w:fldChar w:fldCharType="begin"/>
            </w:r>
            <w:r w:rsidR="00293611">
              <w:instrText xml:space="preserve"> XE "</w:instrText>
            </w:r>
            <w:r w:rsidR="00293611" w:rsidRPr="00CD56BD">
              <w:instrText>Roth IRAs</w:instrText>
            </w:r>
            <w:r w:rsidR="00293611">
              <w:instrText xml:space="preserve">" </w:instrText>
            </w:r>
            <w:r w:rsidR="00A95039" w:rsidRPr="006D389B">
              <w:rPr>
                <w:b/>
                <w:szCs w:val="22"/>
              </w:rPr>
              <w:fldChar w:fldCharType="end"/>
            </w:r>
            <w:r w:rsidR="003644B8" w:rsidRPr="006D389B">
              <w:rPr>
                <w:b/>
                <w:szCs w:val="22"/>
              </w:rPr>
              <w:t>)</w:t>
            </w:r>
          </w:p>
        </w:tc>
        <w:tc>
          <w:tcPr>
            <w:tcW w:w="6678" w:type="dxa"/>
          </w:tcPr>
          <w:p w14:paraId="6981748B" w14:textId="77777777" w:rsidR="00481F1D" w:rsidRPr="006D389B" w:rsidRDefault="00481F1D" w:rsidP="00825E0B">
            <w:pPr>
              <w:rPr>
                <w:szCs w:val="22"/>
              </w:rPr>
            </w:pPr>
            <w:r w:rsidRPr="006D389B">
              <w:rPr>
                <w:szCs w:val="22"/>
              </w:rPr>
              <w:t>Under FIFO tax treatment</w:t>
            </w:r>
            <w:r w:rsidR="00A95039" w:rsidRPr="006D389B">
              <w:rPr>
                <w:szCs w:val="22"/>
              </w:rPr>
              <w:fldChar w:fldCharType="begin"/>
            </w:r>
            <w:r w:rsidR="00293611">
              <w:instrText xml:space="preserve"> XE "</w:instrText>
            </w:r>
            <w:r w:rsidR="00293611" w:rsidRPr="006D389B">
              <w:rPr>
                <w:szCs w:val="22"/>
              </w:rPr>
              <w:instrText>FIFO tax treatment</w:instrText>
            </w:r>
            <w:r w:rsidR="00293611">
              <w:instrText xml:space="preserve">" </w:instrText>
            </w:r>
            <w:r w:rsidR="00A95039" w:rsidRPr="006D389B">
              <w:rPr>
                <w:szCs w:val="22"/>
              </w:rPr>
              <w:fldChar w:fldCharType="end"/>
            </w:r>
            <w:r w:rsidRPr="006D389B">
              <w:rPr>
                <w:szCs w:val="22"/>
              </w:rPr>
              <w:t xml:space="preserve">, all contributions are deemed to be distributed </w:t>
            </w:r>
            <w:r w:rsidRPr="006D389B">
              <w:rPr>
                <w:i/>
                <w:szCs w:val="22"/>
              </w:rPr>
              <w:t>before any earnings are distributed</w:t>
            </w:r>
            <w:r w:rsidRPr="006D389B">
              <w:rPr>
                <w:szCs w:val="22"/>
              </w:rPr>
              <w:t>.</w:t>
            </w:r>
            <w:r w:rsidR="00297ACB" w:rsidRPr="006D389B">
              <w:rPr>
                <w:szCs w:val="22"/>
              </w:rPr>
              <w:t xml:space="preserve"> </w:t>
            </w:r>
            <w:r w:rsidRPr="006D389B">
              <w:rPr>
                <w:szCs w:val="22"/>
              </w:rPr>
              <w:t>Since contributions to 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are made with after-tax dollars, they are withdrawn tax free, even though earnings withdrawn in a distribution that is not a </w:t>
            </w:r>
            <w:r w:rsidR="00297ACB" w:rsidRPr="006D389B">
              <w:rPr>
                <w:szCs w:val="22"/>
              </w:rPr>
              <w:t>“</w:t>
            </w:r>
            <w:r w:rsidRPr="006D389B">
              <w:rPr>
                <w:szCs w:val="22"/>
              </w:rPr>
              <w:t>qualified distribution</w:t>
            </w:r>
            <w:r w:rsidR="00A95039" w:rsidRPr="006D389B">
              <w:rPr>
                <w:szCs w:val="22"/>
              </w:rPr>
              <w:fldChar w:fldCharType="begin"/>
            </w:r>
            <w:r w:rsidR="00293611">
              <w:instrText xml:space="preserve"> XE "</w:instrText>
            </w:r>
            <w:r w:rsidR="00293611" w:rsidRPr="006D389B">
              <w:rPr>
                <w:szCs w:val="22"/>
              </w:rPr>
              <w:instrText>qualified distribution</w:instrText>
            </w:r>
            <w:r w:rsidR="00293611">
              <w:instrText xml:space="preserve">" </w:instrText>
            </w:r>
            <w:r w:rsidR="00A95039" w:rsidRPr="006D389B">
              <w:rPr>
                <w:szCs w:val="22"/>
              </w:rPr>
              <w:fldChar w:fldCharType="end"/>
            </w:r>
            <w:r w:rsidR="00297ACB" w:rsidRPr="006D389B">
              <w:rPr>
                <w:szCs w:val="22"/>
              </w:rPr>
              <w:t>”</w:t>
            </w:r>
            <w:r w:rsidRPr="006D389B">
              <w:rPr>
                <w:szCs w:val="22"/>
              </w:rPr>
              <w:t xml:space="preserve"> would be subject to income tax and, possibly, a premature </w:t>
            </w:r>
            <w:r w:rsidR="00564918">
              <w:rPr>
                <w:szCs w:val="22"/>
              </w:rPr>
              <w:t xml:space="preserve">distribution </w:t>
            </w:r>
            <w:r w:rsidRPr="006D389B">
              <w:rPr>
                <w:szCs w:val="22"/>
              </w:rPr>
              <w:t>tax penalty.</w:t>
            </w:r>
            <w:r w:rsidR="00297ACB" w:rsidRPr="006D389B">
              <w:rPr>
                <w:szCs w:val="22"/>
              </w:rPr>
              <w:t xml:space="preserve"> </w:t>
            </w:r>
            <w:r w:rsidRPr="006D389B">
              <w:rPr>
                <w:szCs w:val="22"/>
              </w:rPr>
              <w:t>As a result of this favorable tax treatment, a Roth IRA owner can withdraw all of his or her contributions from the account without incurring any income tax liability—and leave all of the earnings in the account continuing to enjoy tax deferral.</w:t>
            </w:r>
          </w:p>
        </w:tc>
      </w:tr>
      <w:tr w:rsidR="00481F1D" w:rsidRPr="006D389B" w14:paraId="57F812B5" w14:textId="77777777" w:rsidTr="006D389B">
        <w:tc>
          <w:tcPr>
            <w:tcW w:w="2178" w:type="dxa"/>
          </w:tcPr>
          <w:p w14:paraId="6C12F7AB" w14:textId="77777777" w:rsidR="00481F1D" w:rsidRPr="006D389B" w:rsidRDefault="00481F1D" w:rsidP="00825E0B">
            <w:pPr>
              <w:rPr>
                <w:b/>
                <w:szCs w:val="22"/>
              </w:rPr>
            </w:pPr>
            <w:r w:rsidRPr="006D389B">
              <w:rPr>
                <w:b/>
                <w:szCs w:val="22"/>
              </w:rPr>
              <w:t>Hardship exception to 60-day rollover</w:t>
            </w:r>
            <w:r w:rsidR="00A95039" w:rsidRPr="006D389B">
              <w:rPr>
                <w:b/>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b/>
                <w:szCs w:val="22"/>
              </w:rPr>
              <w:fldChar w:fldCharType="end"/>
            </w:r>
            <w:r w:rsidRPr="006D389B">
              <w:rPr>
                <w:b/>
                <w:szCs w:val="22"/>
              </w:rPr>
              <w:t xml:space="preserve"> rule</w:t>
            </w:r>
          </w:p>
        </w:tc>
        <w:tc>
          <w:tcPr>
            <w:tcW w:w="6678" w:type="dxa"/>
          </w:tcPr>
          <w:p w14:paraId="2EB45A47" w14:textId="77777777" w:rsidR="00481F1D" w:rsidRPr="006D389B" w:rsidRDefault="00481F1D" w:rsidP="00825E0B">
            <w:pPr>
              <w:rPr>
                <w:szCs w:val="22"/>
              </w:rPr>
            </w:pPr>
            <w:r w:rsidRPr="006D389B">
              <w:rPr>
                <w:szCs w:val="22"/>
              </w:rPr>
              <w:t>The Secretary of the Treasury may waive the 60-day rollover</w:t>
            </w:r>
            <w:r w:rsidR="00A95039" w:rsidRPr="006D389B">
              <w:rPr>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szCs w:val="22"/>
              </w:rPr>
              <w:fldChar w:fldCharType="end"/>
            </w:r>
            <w:r w:rsidRPr="006D389B">
              <w:rPr>
                <w:szCs w:val="22"/>
              </w:rPr>
              <w:t xml:space="preserve"> rule where its enforcement would be against equity or good conscience.</w:t>
            </w:r>
          </w:p>
        </w:tc>
      </w:tr>
      <w:tr w:rsidR="00481F1D" w:rsidRPr="006D389B" w14:paraId="54B1CB7F" w14:textId="77777777" w:rsidTr="006D389B">
        <w:tc>
          <w:tcPr>
            <w:tcW w:w="2178" w:type="dxa"/>
          </w:tcPr>
          <w:p w14:paraId="62F29D71" w14:textId="77777777" w:rsidR="00481F1D" w:rsidRPr="006D389B" w:rsidRDefault="00481F1D" w:rsidP="00825E0B">
            <w:pPr>
              <w:rPr>
                <w:b/>
                <w:szCs w:val="22"/>
              </w:rPr>
            </w:pPr>
            <w:r w:rsidRPr="006D389B">
              <w:rPr>
                <w:b/>
                <w:szCs w:val="22"/>
              </w:rPr>
              <w:t>IRA catch-up contributions</w:t>
            </w:r>
            <w:r w:rsidR="00A95039" w:rsidRPr="006D389B">
              <w:rPr>
                <w:b/>
                <w:szCs w:val="22"/>
              </w:rPr>
              <w:fldChar w:fldCharType="begin"/>
            </w:r>
            <w:r w:rsidR="00500F1D">
              <w:instrText xml:space="preserve"> XE "</w:instrText>
            </w:r>
            <w:r w:rsidR="00500F1D" w:rsidRPr="006D389B">
              <w:rPr>
                <w:szCs w:val="22"/>
              </w:rPr>
              <w:instrText>catch-up contributions</w:instrText>
            </w:r>
            <w:r w:rsidR="00500F1D">
              <w:instrText xml:space="preserve">" </w:instrText>
            </w:r>
            <w:r w:rsidR="00A95039" w:rsidRPr="006D389B">
              <w:rPr>
                <w:b/>
                <w:szCs w:val="22"/>
              </w:rPr>
              <w:fldChar w:fldCharType="end"/>
            </w:r>
          </w:p>
        </w:tc>
        <w:tc>
          <w:tcPr>
            <w:tcW w:w="6678" w:type="dxa"/>
          </w:tcPr>
          <w:p w14:paraId="108EE347" w14:textId="77777777" w:rsidR="00481F1D" w:rsidRPr="006D389B" w:rsidRDefault="00481F1D" w:rsidP="00825E0B">
            <w:pPr>
              <w:rPr>
                <w:szCs w:val="22"/>
              </w:rPr>
            </w:pPr>
            <w:r w:rsidRPr="006D389B">
              <w:rPr>
                <w:szCs w:val="22"/>
              </w:rPr>
              <w:t xml:space="preserve">In addition to regular IRA contributions, individuals who have attained age 50 before the close of the taxable year for which the IRA contribution is made may make additional contributions, known as </w:t>
            </w:r>
            <w:r w:rsidR="00297ACB" w:rsidRPr="006D389B">
              <w:rPr>
                <w:szCs w:val="22"/>
              </w:rPr>
              <w:t>“</w:t>
            </w:r>
            <w:r w:rsidRPr="006D389B">
              <w:rPr>
                <w:szCs w:val="22"/>
              </w:rPr>
              <w:t>catch-up</w:t>
            </w:r>
            <w:r w:rsidR="00297ACB" w:rsidRPr="006D389B">
              <w:rPr>
                <w:szCs w:val="22"/>
              </w:rPr>
              <w:t>”</w:t>
            </w:r>
            <w:r w:rsidRPr="006D389B">
              <w:rPr>
                <w:szCs w:val="22"/>
              </w:rPr>
              <w:t xml:space="preserve"> contributions.</w:t>
            </w:r>
          </w:p>
        </w:tc>
      </w:tr>
      <w:tr w:rsidR="00481F1D" w:rsidRPr="006D389B" w14:paraId="2BA39372" w14:textId="77777777" w:rsidTr="006D389B">
        <w:tc>
          <w:tcPr>
            <w:tcW w:w="2178" w:type="dxa"/>
          </w:tcPr>
          <w:p w14:paraId="43D8A386" w14:textId="77777777" w:rsidR="00481F1D" w:rsidRPr="006D389B" w:rsidRDefault="00481F1D" w:rsidP="00825E0B">
            <w:pPr>
              <w:rPr>
                <w:b/>
                <w:szCs w:val="22"/>
              </w:rPr>
            </w:pPr>
            <w:r w:rsidRPr="006D389B">
              <w:rPr>
                <w:b/>
                <w:szCs w:val="22"/>
              </w:rPr>
              <w:t>IRA funding vehicle</w:t>
            </w:r>
          </w:p>
        </w:tc>
        <w:tc>
          <w:tcPr>
            <w:tcW w:w="6678" w:type="dxa"/>
          </w:tcPr>
          <w:p w14:paraId="69062418" w14:textId="77777777" w:rsidR="00481F1D" w:rsidRPr="006D389B" w:rsidRDefault="00481F1D" w:rsidP="00825E0B">
            <w:pPr>
              <w:rPr>
                <w:szCs w:val="22"/>
              </w:rPr>
            </w:pPr>
            <w:r w:rsidRPr="006D389B">
              <w:rPr>
                <w:szCs w:val="22"/>
              </w:rPr>
              <w:t>An IRA owner can opt for funding his or her account with an annuity or may use a trust or custodial account</w:t>
            </w:r>
            <w:r w:rsidR="00A95039" w:rsidRPr="006D389B">
              <w:rPr>
                <w:szCs w:val="22"/>
              </w:rPr>
              <w:fldChar w:fldCharType="begin"/>
            </w:r>
            <w:r w:rsidR="00293611">
              <w:instrText xml:space="preserve"> XE "</w:instrText>
            </w:r>
            <w:r w:rsidR="00293611" w:rsidRPr="006D389B">
              <w:rPr>
                <w:szCs w:val="22"/>
              </w:rPr>
              <w:instrText>trust or custodial account</w:instrText>
            </w:r>
            <w:r w:rsidR="00293611">
              <w:instrText xml:space="preserve">" </w:instrText>
            </w:r>
            <w:r w:rsidR="00A95039" w:rsidRPr="006D389B">
              <w:rPr>
                <w:szCs w:val="22"/>
              </w:rPr>
              <w:fldChar w:fldCharType="end"/>
            </w:r>
            <w:r w:rsidRPr="006D389B">
              <w:rPr>
                <w:szCs w:val="22"/>
              </w:rPr>
              <w:t xml:space="preserve"> through which other products can be purchased.</w:t>
            </w:r>
            <w:r w:rsidR="00297ACB" w:rsidRPr="006D389B">
              <w:rPr>
                <w:szCs w:val="22"/>
              </w:rPr>
              <w:t xml:space="preserve"> </w:t>
            </w:r>
            <w:r w:rsidRPr="006D389B">
              <w:rPr>
                <w:szCs w:val="22"/>
              </w:rPr>
              <w:t>The trust or custodial account must be one that is established to provide benefits for the IRA owner and his or her beneficiaries.</w:t>
            </w:r>
            <w:r w:rsidR="00297ACB" w:rsidRPr="006D389B">
              <w:rPr>
                <w:szCs w:val="22"/>
              </w:rPr>
              <w:t xml:space="preserve"> </w:t>
            </w:r>
            <w:r w:rsidRPr="006D389B">
              <w:rPr>
                <w:szCs w:val="22"/>
              </w:rPr>
              <w:t>These permitted funding approaches apply to both traditional and Roth IRAs</w:t>
            </w:r>
            <w:r w:rsidR="00A95039" w:rsidRPr="006D389B">
              <w:rPr>
                <w:szCs w:val="22"/>
              </w:rPr>
              <w:fldChar w:fldCharType="begin"/>
            </w:r>
            <w:r w:rsidR="00293611">
              <w:instrText xml:space="preserve"> XE "</w:instrText>
            </w:r>
            <w:r w:rsidR="00293611" w:rsidRPr="00CD56BD">
              <w:instrText>Roth IRAs</w:instrText>
            </w:r>
            <w:r w:rsidR="00293611">
              <w:instrText xml:space="preserve">" </w:instrText>
            </w:r>
            <w:r w:rsidR="00A95039" w:rsidRPr="006D389B">
              <w:rPr>
                <w:szCs w:val="22"/>
              </w:rPr>
              <w:fldChar w:fldCharType="end"/>
            </w:r>
            <w:r w:rsidRPr="006D389B">
              <w:rPr>
                <w:szCs w:val="22"/>
              </w:rPr>
              <w:t>.</w:t>
            </w:r>
          </w:p>
        </w:tc>
      </w:tr>
      <w:tr w:rsidR="00481F1D" w:rsidRPr="006D389B" w14:paraId="44A17745" w14:textId="77777777" w:rsidTr="006D389B">
        <w:tc>
          <w:tcPr>
            <w:tcW w:w="2178" w:type="dxa"/>
          </w:tcPr>
          <w:p w14:paraId="3D5C5761" w14:textId="77777777" w:rsidR="00481F1D" w:rsidRPr="006D389B" w:rsidRDefault="00481F1D" w:rsidP="00825E0B">
            <w:pPr>
              <w:rPr>
                <w:b/>
                <w:szCs w:val="22"/>
              </w:rPr>
            </w:pPr>
            <w:r w:rsidRPr="006D389B">
              <w:rPr>
                <w:b/>
                <w:szCs w:val="22"/>
              </w:rPr>
              <w:t>Mandatory distribution tax withholding</w:t>
            </w:r>
          </w:p>
        </w:tc>
        <w:tc>
          <w:tcPr>
            <w:tcW w:w="6678" w:type="dxa"/>
          </w:tcPr>
          <w:p w14:paraId="1A90EB59" w14:textId="77777777" w:rsidR="00481F1D" w:rsidRPr="006D389B" w:rsidRDefault="00481F1D" w:rsidP="00825E0B">
            <w:pPr>
              <w:rPr>
                <w:szCs w:val="22"/>
              </w:rPr>
            </w:pPr>
            <w:r w:rsidRPr="006D389B">
              <w:rPr>
                <w:szCs w:val="22"/>
              </w:rPr>
              <w:t>Any distribution to a participant from a qualified plan, §457 governmental plan or §403(b) tax-sheltered annuity—even if that distribution will be rolled over to another plan—requires that the trustee of the distributing plan withhold 20 percent of the distribution for taxes.</w:t>
            </w:r>
            <w:r w:rsidR="00297ACB" w:rsidRPr="006D389B">
              <w:rPr>
                <w:szCs w:val="22"/>
              </w:rPr>
              <w:t xml:space="preserve"> </w:t>
            </w:r>
            <w:r w:rsidRPr="006D389B">
              <w:rPr>
                <w:szCs w:val="22"/>
              </w:rPr>
              <w:t>Mandatory withholding does not apply to IRA distributions.</w:t>
            </w:r>
          </w:p>
        </w:tc>
      </w:tr>
    </w:tbl>
    <w:p w14:paraId="016965EA" w14:textId="77777777" w:rsidR="00D17804" w:rsidRDefault="00D17804">
      <w:r>
        <w:br w:type="page"/>
      </w:r>
    </w:p>
    <w:tbl>
      <w:tblPr>
        <w:tblW w:w="0" w:type="auto"/>
        <w:tblLook w:val="01E0" w:firstRow="1" w:lastRow="1" w:firstColumn="1" w:lastColumn="1" w:noHBand="0" w:noVBand="0"/>
      </w:tblPr>
      <w:tblGrid>
        <w:gridCol w:w="2178"/>
        <w:gridCol w:w="6678"/>
      </w:tblGrid>
      <w:tr w:rsidR="00481F1D" w:rsidRPr="006D389B" w14:paraId="1F039B8C" w14:textId="77777777" w:rsidTr="006D389B">
        <w:tc>
          <w:tcPr>
            <w:tcW w:w="2178" w:type="dxa"/>
          </w:tcPr>
          <w:p w14:paraId="43777F4D" w14:textId="77777777" w:rsidR="00481F1D" w:rsidRPr="006D389B" w:rsidRDefault="00481F1D" w:rsidP="00825E0B">
            <w:pPr>
              <w:rPr>
                <w:b/>
                <w:szCs w:val="22"/>
              </w:rPr>
            </w:pPr>
            <w:r w:rsidRPr="006D389B">
              <w:rPr>
                <w:b/>
                <w:szCs w:val="22"/>
              </w:rPr>
              <w:lastRenderedPageBreak/>
              <w:t>Matching contributions</w:t>
            </w:r>
          </w:p>
        </w:tc>
        <w:tc>
          <w:tcPr>
            <w:tcW w:w="6678" w:type="dxa"/>
          </w:tcPr>
          <w:p w14:paraId="5A5B76C7" w14:textId="77777777" w:rsidR="00481F1D" w:rsidRPr="006D389B" w:rsidRDefault="00481F1D" w:rsidP="00825E0B">
            <w:pPr>
              <w:rPr>
                <w:szCs w:val="22"/>
              </w:rPr>
            </w:pPr>
            <w:r w:rsidRPr="006D389B">
              <w:rPr>
                <w:szCs w:val="22"/>
              </w:rPr>
              <w:t xml:space="preserve">If the employer elects to make matching SIMPLE contributions in any year, rather than nonelective contributions, the employer need make contributions </w:t>
            </w:r>
            <w:r w:rsidRPr="006D389B">
              <w:rPr>
                <w:i/>
                <w:szCs w:val="22"/>
              </w:rPr>
              <w:t>only</w:t>
            </w:r>
            <w:r w:rsidRPr="006D389B">
              <w:rPr>
                <w:szCs w:val="22"/>
              </w:rPr>
              <w:t xml:space="preserve"> for those employees making elective contributions.</w:t>
            </w:r>
            <w:r w:rsidR="00297ACB" w:rsidRPr="006D389B">
              <w:rPr>
                <w:szCs w:val="22"/>
              </w:rPr>
              <w:t xml:space="preserve"> </w:t>
            </w:r>
            <w:r w:rsidRPr="006D389B">
              <w:rPr>
                <w:szCs w:val="22"/>
              </w:rPr>
              <w:t>The matching contributions</w:t>
            </w:r>
            <w:r w:rsidR="00A95039" w:rsidRPr="006D389B">
              <w:rPr>
                <w:szCs w:val="22"/>
              </w:rPr>
              <w:fldChar w:fldCharType="begin"/>
            </w:r>
            <w:r w:rsidR="00500F1D">
              <w:instrText xml:space="preserve"> XE "</w:instrText>
            </w:r>
            <w:r w:rsidR="00500F1D" w:rsidRPr="006D389B">
              <w:rPr>
                <w:szCs w:val="22"/>
              </w:rPr>
              <w:instrText>SIMPLE employer matching contributions</w:instrText>
            </w:r>
            <w:r w:rsidR="00500F1D">
              <w:instrText xml:space="preserve">" </w:instrText>
            </w:r>
            <w:r w:rsidR="00A95039" w:rsidRPr="006D389B">
              <w:rPr>
                <w:szCs w:val="22"/>
              </w:rPr>
              <w:fldChar w:fldCharType="end"/>
            </w:r>
            <w:r w:rsidRPr="006D389B">
              <w:rPr>
                <w:szCs w:val="22"/>
              </w:rPr>
              <w:t xml:space="preserve"> must be at least equal to the lesser of:</w:t>
            </w:r>
          </w:p>
          <w:p w14:paraId="01E89261" w14:textId="77777777" w:rsidR="00481F1D" w:rsidRPr="001C3753" w:rsidRDefault="00481F1D" w:rsidP="007A5E54">
            <w:pPr>
              <w:numPr>
                <w:ilvl w:val="0"/>
                <w:numId w:val="40"/>
              </w:numPr>
              <w:contextualSpacing/>
            </w:pPr>
            <w:r w:rsidRPr="001C3753">
              <w:t>The amount of the employee’s salary reduction</w:t>
            </w:r>
            <w:r w:rsidR="001C3753" w:rsidRPr="001C3753">
              <w:t xml:space="preserve">, </w:t>
            </w:r>
            <w:r w:rsidRPr="001C3753">
              <w:t>or</w:t>
            </w:r>
          </w:p>
          <w:p w14:paraId="52443DCC" w14:textId="77777777" w:rsidR="00481F1D" w:rsidRPr="000B485C" w:rsidRDefault="00481F1D" w:rsidP="007A5E54">
            <w:pPr>
              <w:numPr>
                <w:ilvl w:val="0"/>
                <w:numId w:val="40"/>
              </w:numPr>
            </w:pPr>
            <w:r w:rsidRPr="001C3753">
              <w:t>The applicable percentage of compensation for the year</w:t>
            </w:r>
          </w:p>
        </w:tc>
      </w:tr>
      <w:tr w:rsidR="00481F1D" w:rsidRPr="006D389B" w14:paraId="46928AA0" w14:textId="77777777" w:rsidTr="006D389B">
        <w:tc>
          <w:tcPr>
            <w:tcW w:w="2178" w:type="dxa"/>
          </w:tcPr>
          <w:p w14:paraId="68730B92" w14:textId="77777777" w:rsidR="00481F1D" w:rsidRPr="006D389B" w:rsidRDefault="00481F1D" w:rsidP="00825E0B">
            <w:pPr>
              <w:rPr>
                <w:b/>
                <w:szCs w:val="22"/>
              </w:rPr>
            </w:pPr>
            <w:r w:rsidRPr="006D389B">
              <w:rPr>
                <w:b/>
                <w:szCs w:val="22"/>
              </w:rPr>
              <w:t>Minimum required distributions</w:t>
            </w:r>
          </w:p>
        </w:tc>
        <w:tc>
          <w:tcPr>
            <w:tcW w:w="6678" w:type="dxa"/>
          </w:tcPr>
          <w:p w14:paraId="208FC558" w14:textId="77777777" w:rsidR="00481F1D" w:rsidRPr="006D389B" w:rsidRDefault="00481F1D" w:rsidP="00825E0B">
            <w:pPr>
              <w:rPr>
                <w:szCs w:val="22"/>
              </w:rPr>
            </w:pPr>
            <w:r w:rsidRPr="006D389B">
              <w:rPr>
                <w:szCs w:val="22"/>
              </w:rPr>
              <w:t>The Internal Revenue Code requires that minimum distributions from a traditional IRA</w:t>
            </w:r>
            <w:r w:rsidR="00A95039" w:rsidRPr="006D389B">
              <w:rPr>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szCs w:val="22"/>
              </w:rPr>
              <w:fldChar w:fldCharType="end"/>
            </w:r>
            <w:r w:rsidRPr="006D389B">
              <w:rPr>
                <w:szCs w:val="22"/>
              </w:rPr>
              <w:t xml:space="preserve"> begin no later than the owner’s age 70½</w:t>
            </w:r>
            <w:r w:rsidR="00A95039" w:rsidRPr="006D389B">
              <w:rPr>
                <w:szCs w:val="22"/>
              </w:rPr>
              <w:fldChar w:fldCharType="begin"/>
            </w:r>
            <w:r w:rsidR="00293611">
              <w:instrText xml:space="preserve"> XE "</w:instrText>
            </w:r>
            <w:r w:rsidR="00293611" w:rsidRPr="006D389B">
              <w:rPr>
                <w:szCs w:val="22"/>
              </w:rPr>
              <w:instrText>age 70½</w:instrText>
            </w:r>
            <w:r w:rsidR="00293611">
              <w:instrText xml:space="preserve">" </w:instrText>
            </w:r>
            <w:r w:rsidR="00A95039" w:rsidRPr="006D389B">
              <w:rPr>
                <w:szCs w:val="22"/>
              </w:rPr>
              <w:fldChar w:fldCharType="end"/>
            </w:r>
          </w:p>
        </w:tc>
      </w:tr>
      <w:tr w:rsidR="00481F1D" w:rsidRPr="006D389B" w14:paraId="44354DEC" w14:textId="77777777" w:rsidTr="006D389B">
        <w:tc>
          <w:tcPr>
            <w:tcW w:w="2178" w:type="dxa"/>
          </w:tcPr>
          <w:p w14:paraId="7EDCE4CD" w14:textId="77777777" w:rsidR="00481F1D" w:rsidRPr="006D389B" w:rsidRDefault="00481F1D" w:rsidP="00825E0B">
            <w:pPr>
              <w:rPr>
                <w:b/>
                <w:szCs w:val="22"/>
              </w:rPr>
            </w:pPr>
            <w:r w:rsidRPr="006D389B">
              <w:rPr>
                <w:b/>
                <w:szCs w:val="22"/>
              </w:rPr>
              <w:t>Modified Adjusted Gross Income (MAGI)</w:t>
            </w:r>
          </w:p>
        </w:tc>
        <w:tc>
          <w:tcPr>
            <w:tcW w:w="6678" w:type="dxa"/>
          </w:tcPr>
          <w:p w14:paraId="7B429404" w14:textId="77777777" w:rsidR="00431D77" w:rsidRPr="006D389B" w:rsidRDefault="00481F1D" w:rsidP="00825E0B">
            <w:pPr>
              <w:rPr>
                <w:szCs w:val="22"/>
              </w:rPr>
            </w:pPr>
            <w:r w:rsidRPr="006D389B">
              <w:rPr>
                <w:szCs w:val="22"/>
              </w:rPr>
              <w:t>Modified adjusted gross income</w:t>
            </w:r>
            <w:r w:rsidR="00A95039" w:rsidRPr="006D389B">
              <w:rPr>
                <w:szCs w:val="22"/>
              </w:rPr>
              <w:fldChar w:fldCharType="begin"/>
            </w:r>
            <w:r w:rsidR="00293611">
              <w:instrText xml:space="preserve"> XE "</w:instrText>
            </w:r>
            <w:r w:rsidR="00293611" w:rsidRPr="006D389B">
              <w:rPr>
                <w:szCs w:val="22"/>
              </w:rPr>
              <w:instrText>adjusted gross income</w:instrText>
            </w:r>
            <w:r w:rsidR="00293611">
              <w:instrText xml:space="preserve">" </w:instrText>
            </w:r>
            <w:r w:rsidR="00A95039" w:rsidRPr="006D389B">
              <w:rPr>
                <w:szCs w:val="22"/>
              </w:rPr>
              <w:fldChar w:fldCharType="end"/>
            </w:r>
            <w:r w:rsidRPr="006D389B">
              <w:rPr>
                <w:szCs w:val="22"/>
              </w:rPr>
              <w:t>, when used in reference to a Coverdell Education Savings Account</w:t>
            </w:r>
            <w:r w:rsidR="00A95039" w:rsidRPr="006D389B">
              <w:rPr>
                <w:szCs w:val="22"/>
              </w:rPr>
              <w:fldChar w:fldCharType="begin"/>
            </w:r>
            <w:r w:rsidR="00293611">
              <w:instrText xml:space="preserve"> XE "</w:instrText>
            </w:r>
            <w:r w:rsidR="00293611" w:rsidRPr="00CD56BD">
              <w:instrText>Coverdell Education Savings Account</w:instrText>
            </w:r>
            <w:r w:rsidR="00293611">
              <w:instrText xml:space="preserve">" </w:instrText>
            </w:r>
            <w:r w:rsidR="00A95039" w:rsidRPr="006D389B">
              <w:rPr>
                <w:szCs w:val="22"/>
              </w:rPr>
              <w:fldChar w:fldCharType="end"/>
            </w:r>
            <w:r w:rsidRPr="006D389B">
              <w:rPr>
                <w:szCs w:val="22"/>
              </w:rPr>
              <w:t>, is the individual’s adjusted gross income modified to add back the excluded income derived from certain foreign sources or United States possessions.</w:t>
            </w:r>
          </w:p>
        </w:tc>
      </w:tr>
      <w:tr w:rsidR="00481F1D" w:rsidRPr="006D389B" w14:paraId="2787EF31" w14:textId="77777777" w:rsidTr="006D389B">
        <w:tc>
          <w:tcPr>
            <w:tcW w:w="2178" w:type="dxa"/>
          </w:tcPr>
          <w:p w14:paraId="4BFB22F0" w14:textId="77777777" w:rsidR="00481F1D" w:rsidRPr="006D389B" w:rsidRDefault="00481F1D" w:rsidP="00825E0B">
            <w:pPr>
              <w:rPr>
                <w:b/>
                <w:szCs w:val="22"/>
              </w:rPr>
            </w:pPr>
            <w:r w:rsidRPr="006D389B">
              <w:rPr>
                <w:b/>
                <w:szCs w:val="22"/>
              </w:rPr>
              <w:t>Nonelective contributions</w:t>
            </w:r>
          </w:p>
        </w:tc>
        <w:tc>
          <w:tcPr>
            <w:tcW w:w="6678" w:type="dxa"/>
          </w:tcPr>
          <w:p w14:paraId="7C78209C" w14:textId="77777777" w:rsidR="00481F1D" w:rsidRPr="006D389B" w:rsidRDefault="00481F1D" w:rsidP="00825E0B">
            <w:pPr>
              <w:rPr>
                <w:szCs w:val="22"/>
              </w:rPr>
            </w:pPr>
            <w:r w:rsidRPr="006D389B">
              <w:rPr>
                <w:szCs w:val="22"/>
              </w:rPr>
              <w:t>In lieu of matching contributions</w:t>
            </w:r>
            <w:r w:rsidR="00A95039" w:rsidRPr="006D389B">
              <w:rPr>
                <w:szCs w:val="22"/>
              </w:rPr>
              <w:fldChar w:fldCharType="begin"/>
            </w:r>
            <w:r w:rsidR="00500F1D">
              <w:instrText xml:space="preserve"> XE "</w:instrText>
            </w:r>
            <w:r w:rsidR="00500F1D" w:rsidRPr="006D389B">
              <w:rPr>
                <w:szCs w:val="22"/>
              </w:rPr>
              <w:instrText>SIMPLE employer matching contributions</w:instrText>
            </w:r>
            <w:r w:rsidR="00500F1D">
              <w:instrText xml:space="preserve">" </w:instrText>
            </w:r>
            <w:r w:rsidR="00A95039" w:rsidRPr="006D389B">
              <w:rPr>
                <w:szCs w:val="22"/>
              </w:rPr>
              <w:fldChar w:fldCharType="end"/>
            </w:r>
            <w:r w:rsidRPr="006D389B">
              <w:rPr>
                <w:szCs w:val="22"/>
              </w:rPr>
              <w:t>, an employer may elect to make mandatory contributions under the nonelective contribution</w:t>
            </w:r>
            <w:r w:rsidR="00A95039" w:rsidRPr="006D389B">
              <w:rPr>
                <w:szCs w:val="22"/>
              </w:rPr>
              <w:fldChar w:fldCharType="begin"/>
            </w:r>
            <w:r w:rsidR="00500F1D">
              <w:instrText xml:space="preserve"> XE "</w:instrText>
            </w:r>
            <w:r w:rsidR="00500F1D" w:rsidRPr="006D389B">
              <w:rPr>
                <w:szCs w:val="22"/>
              </w:rPr>
              <w:instrText>SIMPLE employer nonelective contribution</w:instrText>
            </w:r>
            <w:r w:rsidR="00500F1D">
              <w:instrText xml:space="preserve">" </w:instrText>
            </w:r>
            <w:r w:rsidR="00A95039" w:rsidRPr="006D389B">
              <w:rPr>
                <w:szCs w:val="22"/>
              </w:rPr>
              <w:fldChar w:fldCharType="end"/>
            </w:r>
            <w:r w:rsidRPr="006D389B">
              <w:rPr>
                <w:szCs w:val="22"/>
              </w:rPr>
              <w:t xml:space="preserve"> formula to a SIMPLE.</w:t>
            </w:r>
            <w:r w:rsidR="00297ACB" w:rsidRPr="006D389B">
              <w:rPr>
                <w:szCs w:val="22"/>
              </w:rPr>
              <w:t xml:space="preserve"> </w:t>
            </w:r>
            <w:r w:rsidRPr="006D389B">
              <w:rPr>
                <w:szCs w:val="22"/>
              </w:rPr>
              <w:t xml:space="preserve">If the employer makes such an election, it must make a contribution for every eligible employee, </w:t>
            </w:r>
            <w:r w:rsidRPr="006D389B">
              <w:rPr>
                <w:i/>
                <w:szCs w:val="22"/>
              </w:rPr>
              <w:t>whether or not the employee made an elective contribution</w:t>
            </w:r>
            <w:r w:rsidRPr="006D389B">
              <w:rPr>
                <w:szCs w:val="22"/>
              </w:rPr>
              <w:t>.</w:t>
            </w:r>
            <w:r w:rsidR="00297ACB" w:rsidRPr="006D389B">
              <w:rPr>
                <w:szCs w:val="22"/>
              </w:rPr>
              <w:t xml:space="preserve"> </w:t>
            </w:r>
            <w:r w:rsidRPr="006D389B">
              <w:rPr>
                <w:szCs w:val="22"/>
              </w:rPr>
              <w:t>The employer is required to make a contribution equal to 2 percent of the employee’s compensation.</w:t>
            </w:r>
          </w:p>
        </w:tc>
      </w:tr>
      <w:tr w:rsidR="00481F1D" w:rsidRPr="006D389B" w14:paraId="7910BA03" w14:textId="77777777" w:rsidTr="006D389B">
        <w:tc>
          <w:tcPr>
            <w:tcW w:w="2178" w:type="dxa"/>
          </w:tcPr>
          <w:p w14:paraId="24F001A5" w14:textId="77777777" w:rsidR="00481F1D" w:rsidRPr="006D389B" w:rsidRDefault="00481F1D" w:rsidP="00825E0B">
            <w:pPr>
              <w:rPr>
                <w:b/>
                <w:szCs w:val="22"/>
              </w:rPr>
            </w:pPr>
            <w:r w:rsidRPr="006D389B">
              <w:rPr>
                <w:b/>
                <w:szCs w:val="22"/>
              </w:rPr>
              <w:t>Premature distribution tax penalty</w:t>
            </w:r>
          </w:p>
        </w:tc>
        <w:tc>
          <w:tcPr>
            <w:tcW w:w="6678" w:type="dxa"/>
          </w:tcPr>
          <w:p w14:paraId="267BDE6D" w14:textId="77777777" w:rsidR="00481F1D" w:rsidRPr="006D389B" w:rsidRDefault="00481F1D" w:rsidP="00825E0B">
            <w:pPr>
              <w:rPr>
                <w:szCs w:val="22"/>
              </w:rPr>
            </w:pPr>
            <w:r w:rsidRPr="006D389B">
              <w:rPr>
                <w:szCs w:val="22"/>
              </w:rPr>
              <w:t>In order to ensure that traditional IRAs are used for the purpose they were designed—specifically to accumulate retirement savings—Congress imposed a limitation on their liquidity by specifying a penalty for premature distributions</w:t>
            </w:r>
            <w:r w:rsidR="00A95039" w:rsidRPr="006D389B">
              <w:rPr>
                <w:szCs w:val="22"/>
              </w:rPr>
              <w:fldChar w:fldCharType="begin"/>
            </w:r>
            <w:r w:rsidR="00293611">
              <w:instrText xml:space="preserve"> XE "</w:instrText>
            </w:r>
            <w:r w:rsidR="00293611" w:rsidRPr="006D389B">
              <w:rPr>
                <w:szCs w:val="22"/>
              </w:rPr>
              <w:instrText>premature distributions</w:instrText>
            </w:r>
            <w:r w:rsidR="00293611">
              <w:instrText xml:space="preserve">" </w:instrText>
            </w:r>
            <w:r w:rsidR="00A95039" w:rsidRPr="006D389B">
              <w:rPr>
                <w:szCs w:val="22"/>
              </w:rPr>
              <w:fldChar w:fldCharType="end"/>
            </w:r>
            <w:r w:rsidRPr="006D389B">
              <w:rPr>
                <w:szCs w:val="22"/>
              </w:rPr>
              <w:t>.</w:t>
            </w:r>
            <w:r w:rsidR="00297ACB" w:rsidRPr="006D389B">
              <w:rPr>
                <w:szCs w:val="22"/>
              </w:rPr>
              <w:t xml:space="preserve"> </w:t>
            </w:r>
            <w:r w:rsidRPr="006D389B">
              <w:rPr>
                <w:szCs w:val="22"/>
              </w:rPr>
              <w:t>Usually, in order to avoid a premature withdrawal penalty, the individual must be at least age 59 1/2 before receiving a distribution from a traditional IRA</w:t>
            </w:r>
            <w:r w:rsidR="00A95039" w:rsidRPr="006D389B">
              <w:rPr>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szCs w:val="22"/>
              </w:rPr>
              <w:fldChar w:fldCharType="end"/>
            </w:r>
            <w:r w:rsidRPr="006D389B">
              <w:rPr>
                <w:szCs w:val="22"/>
              </w:rPr>
              <w:t>.</w:t>
            </w:r>
          </w:p>
        </w:tc>
      </w:tr>
      <w:tr w:rsidR="00481F1D" w:rsidRPr="006D389B" w14:paraId="4E9C25EF" w14:textId="77777777" w:rsidTr="006D389B">
        <w:tc>
          <w:tcPr>
            <w:tcW w:w="2178" w:type="dxa"/>
          </w:tcPr>
          <w:p w14:paraId="11BCEAB2" w14:textId="77777777" w:rsidR="00481F1D" w:rsidRPr="006D389B" w:rsidRDefault="00481F1D" w:rsidP="00825E0B">
            <w:pPr>
              <w:rPr>
                <w:b/>
                <w:szCs w:val="22"/>
              </w:rPr>
            </w:pPr>
            <w:r w:rsidRPr="006D389B">
              <w:rPr>
                <w:b/>
                <w:szCs w:val="22"/>
              </w:rPr>
              <w:t>Prohibited IRA funding vehicles</w:t>
            </w:r>
          </w:p>
        </w:tc>
        <w:tc>
          <w:tcPr>
            <w:tcW w:w="6678" w:type="dxa"/>
          </w:tcPr>
          <w:p w14:paraId="17846DD5" w14:textId="77777777" w:rsidR="00481F1D" w:rsidRPr="006D389B" w:rsidRDefault="00481F1D" w:rsidP="00825E0B">
            <w:pPr>
              <w:rPr>
                <w:szCs w:val="22"/>
              </w:rPr>
            </w:pPr>
            <w:r w:rsidRPr="006D389B">
              <w:rPr>
                <w:szCs w:val="22"/>
              </w:rPr>
              <w:t>The savings and investment products that are specifically prohibited as IRA funding vehicles are:</w:t>
            </w:r>
          </w:p>
          <w:p w14:paraId="4E763C93" w14:textId="77777777" w:rsidR="00481F1D" w:rsidRPr="001C3753" w:rsidRDefault="00481F1D" w:rsidP="007A5E54">
            <w:pPr>
              <w:numPr>
                <w:ilvl w:val="0"/>
                <w:numId w:val="41"/>
              </w:numPr>
              <w:contextualSpacing/>
            </w:pPr>
            <w:r w:rsidRPr="001C3753">
              <w:t>Life insurance</w:t>
            </w:r>
            <w:r w:rsidR="001C3753" w:rsidRPr="001C3753">
              <w:t xml:space="preserve">, </w:t>
            </w:r>
            <w:r w:rsidRPr="001C3753">
              <w:t>and</w:t>
            </w:r>
          </w:p>
          <w:p w14:paraId="28FEB616" w14:textId="77777777" w:rsidR="00481F1D" w:rsidRDefault="00481F1D" w:rsidP="007A5E54">
            <w:pPr>
              <w:numPr>
                <w:ilvl w:val="0"/>
                <w:numId w:val="41"/>
              </w:numPr>
            </w:pPr>
            <w:r w:rsidRPr="001C3753">
              <w:t>Collectibles</w:t>
            </w:r>
            <w:r w:rsidR="00A95039">
              <w:fldChar w:fldCharType="begin"/>
            </w:r>
            <w:r w:rsidR="00293611">
              <w:instrText xml:space="preserve"> XE "</w:instrText>
            </w:r>
            <w:r w:rsidR="00293611" w:rsidRPr="00CD56BD">
              <w:instrText>Collectibles prohibited in IRAs</w:instrText>
            </w:r>
            <w:r w:rsidR="00293611">
              <w:instrText xml:space="preserve">" </w:instrText>
            </w:r>
            <w:r w:rsidR="00A95039">
              <w:fldChar w:fldCharType="end"/>
            </w:r>
            <w:r w:rsidRPr="001C3753">
              <w:t>, such as antiques, artwork, etc.</w:t>
            </w:r>
          </w:p>
        </w:tc>
      </w:tr>
      <w:tr w:rsidR="00481F1D" w:rsidRPr="006D389B" w14:paraId="0FC1F490" w14:textId="77777777" w:rsidTr="006D389B">
        <w:tc>
          <w:tcPr>
            <w:tcW w:w="2178" w:type="dxa"/>
          </w:tcPr>
          <w:p w14:paraId="576827A7" w14:textId="77777777" w:rsidR="00481F1D" w:rsidRPr="006D389B" w:rsidRDefault="00481F1D" w:rsidP="00825E0B">
            <w:pPr>
              <w:rPr>
                <w:b/>
                <w:szCs w:val="22"/>
              </w:rPr>
            </w:pPr>
            <w:r w:rsidRPr="006D389B">
              <w:rPr>
                <w:b/>
                <w:szCs w:val="22"/>
              </w:rPr>
              <w:t>Qualified distribution from Roth IRA</w:t>
            </w:r>
            <w:r w:rsidR="00A95039" w:rsidRPr="006D389B">
              <w:rPr>
                <w:b/>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b/>
                <w:szCs w:val="22"/>
              </w:rPr>
              <w:fldChar w:fldCharType="end"/>
            </w:r>
          </w:p>
        </w:tc>
        <w:tc>
          <w:tcPr>
            <w:tcW w:w="6678" w:type="dxa"/>
          </w:tcPr>
          <w:p w14:paraId="51C605BD" w14:textId="77777777" w:rsidR="001D0C0A" w:rsidRPr="006D389B" w:rsidRDefault="00481F1D" w:rsidP="00825E0B">
            <w:pPr>
              <w:rPr>
                <w:szCs w:val="22"/>
              </w:rPr>
            </w:pPr>
            <w:r w:rsidRPr="006D389B">
              <w:rPr>
                <w:szCs w:val="22"/>
              </w:rPr>
              <w:t>A qualified distribution</w:t>
            </w:r>
            <w:r w:rsidR="00A95039" w:rsidRPr="006D389B">
              <w:rPr>
                <w:szCs w:val="22"/>
              </w:rPr>
              <w:fldChar w:fldCharType="begin"/>
            </w:r>
            <w:r w:rsidR="00293611">
              <w:instrText xml:space="preserve"> XE "</w:instrText>
            </w:r>
            <w:r w:rsidR="00293611" w:rsidRPr="006D389B">
              <w:rPr>
                <w:szCs w:val="22"/>
              </w:rPr>
              <w:instrText>qualified distribution</w:instrText>
            </w:r>
            <w:r w:rsidR="00293611">
              <w:instrText xml:space="preserve">" </w:instrText>
            </w:r>
            <w:r w:rsidR="00A95039" w:rsidRPr="006D389B">
              <w:rPr>
                <w:szCs w:val="22"/>
              </w:rPr>
              <w:fldChar w:fldCharType="end"/>
            </w:r>
            <w:r w:rsidRPr="006D389B">
              <w:rPr>
                <w:szCs w:val="22"/>
              </w:rPr>
              <w:t xml:space="preserve"> from 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is one that is made </w:t>
            </w:r>
            <w:r w:rsidR="00212181">
              <w:rPr>
                <w:szCs w:val="22"/>
              </w:rPr>
              <w:t>after the five-taxable year period beginning with the first taxable year for which the individual made a contribution to a Roth IRA and</w:t>
            </w:r>
            <w:r w:rsidRPr="006D389B">
              <w:rPr>
                <w:szCs w:val="22"/>
              </w:rPr>
              <w:t>:</w:t>
            </w:r>
          </w:p>
          <w:p w14:paraId="34D6F5DC" w14:textId="77777777" w:rsidR="00481F1D" w:rsidRPr="00CD4472" w:rsidRDefault="00BA0F90" w:rsidP="007A5E54">
            <w:pPr>
              <w:numPr>
                <w:ilvl w:val="0"/>
                <w:numId w:val="47"/>
              </w:numPr>
              <w:contextualSpacing/>
            </w:pPr>
            <w:r w:rsidRPr="00CD4472">
              <w:t>The individual is age 59½</w:t>
            </w:r>
            <w:r w:rsidR="00A95039">
              <w:fldChar w:fldCharType="begin"/>
            </w:r>
            <w:r w:rsidR="00500F1D">
              <w:instrText xml:space="preserve"> XE "</w:instrText>
            </w:r>
            <w:r w:rsidR="00500F1D" w:rsidRPr="006D389B">
              <w:rPr>
                <w:szCs w:val="22"/>
              </w:rPr>
              <w:instrText>age 59½</w:instrText>
            </w:r>
            <w:r w:rsidR="00500F1D">
              <w:instrText xml:space="preserve">" </w:instrText>
            </w:r>
            <w:r w:rsidR="00A95039">
              <w:fldChar w:fldCharType="end"/>
            </w:r>
            <w:r w:rsidR="00481F1D" w:rsidRPr="00CD4472">
              <w:t xml:space="preserve"> or older</w:t>
            </w:r>
            <w:r>
              <w:t>;</w:t>
            </w:r>
          </w:p>
          <w:p w14:paraId="35A2B65D" w14:textId="77777777" w:rsidR="00481F1D" w:rsidRPr="00CD4472" w:rsidRDefault="00BA0F90" w:rsidP="007A5E54">
            <w:pPr>
              <w:numPr>
                <w:ilvl w:val="0"/>
                <w:numId w:val="47"/>
              </w:numPr>
              <w:contextualSpacing/>
            </w:pPr>
            <w:r w:rsidRPr="00CD4472">
              <w:t>The distribution is a qualified first-time homebuyer distribution</w:t>
            </w:r>
            <w:r>
              <w:t>;</w:t>
            </w:r>
          </w:p>
          <w:p w14:paraId="3E3AE587" w14:textId="77777777" w:rsidR="00481F1D" w:rsidRPr="00CD4472" w:rsidRDefault="00BA0F90" w:rsidP="007A5E54">
            <w:pPr>
              <w:numPr>
                <w:ilvl w:val="0"/>
                <w:numId w:val="47"/>
              </w:numPr>
              <w:contextualSpacing/>
            </w:pPr>
            <w:r w:rsidRPr="00CD4472">
              <w:t>The individual is disabled</w:t>
            </w:r>
            <w:r>
              <w:t>;</w:t>
            </w:r>
            <w:r w:rsidR="001C3753" w:rsidRPr="00CD4472">
              <w:t xml:space="preserve"> </w:t>
            </w:r>
            <w:r w:rsidR="00481F1D" w:rsidRPr="00CD4472">
              <w:t>or</w:t>
            </w:r>
          </w:p>
          <w:p w14:paraId="74843A6A" w14:textId="77777777" w:rsidR="00481F1D" w:rsidRDefault="00BA0F90" w:rsidP="007A5E54">
            <w:pPr>
              <w:numPr>
                <w:ilvl w:val="0"/>
                <w:numId w:val="47"/>
              </w:numPr>
            </w:pPr>
            <w:r w:rsidRPr="00CD4472">
              <w:t>The distribution is mad</w:t>
            </w:r>
            <w:r w:rsidR="00481F1D" w:rsidRPr="00CD4472">
              <w:t>e to a beneficiary on or after the individual’s death</w:t>
            </w:r>
            <w:r>
              <w:t>.</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p>
        </w:tc>
      </w:tr>
    </w:tbl>
    <w:p w14:paraId="1ECFFC20" w14:textId="77777777" w:rsidR="00D17804" w:rsidRDefault="00D17804">
      <w:r>
        <w:br w:type="page"/>
      </w:r>
    </w:p>
    <w:tbl>
      <w:tblPr>
        <w:tblW w:w="0" w:type="auto"/>
        <w:tblLook w:val="01E0" w:firstRow="1" w:lastRow="1" w:firstColumn="1" w:lastColumn="1" w:noHBand="0" w:noVBand="0"/>
      </w:tblPr>
      <w:tblGrid>
        <w:gridCol w:w="2178"/>
        <w:gridCol w:w="6678"/>
      </w:tblGrid>
      <w:tr w:rsidR="00481F1D" w:rsidRPr="006D389B" w14:paraId="7EECF2BF" w14:textId="77777777" w:rsidTr="006D389B">
        <w:tc>
          <w:tcPr>
            <w:tcW w:w="2178" w:type="dxa"/>
          </w:tcPr>
          <w:p w14:paraId="2C0819DD" w14:textId="77777777" w:rsidR="00481F1D" w:rsidRPr="006D389B" w:rsidRDefault="00481F1D" w:rsidP="00825E0B">
            <w:pPr>
              <w:rPr>
                <w:b/>
                <w:szCs w:val="22"/>
              </w:rPr>
            </w:pPr>
            <w:r w:rsidRPr="006D389B">
              <w:rPr>
                <w:b/>
                <w:szCs w:val="22"/>
              </w:rPr>
              <w:lastRenderedPageBreak/>
              <w:t>Qualified education expenses</w:t>
            </w:r>
          </w:p>
        </w:tc>
        <w:tc>
          <w:tcPr>
            <w:tcW w:w="6678" w:type="dxa"/>
          </w:tcPr>
          <w:p w14:paraId="4DD4FCA4" w14:textId="77777777" w:rsidR="00481F1D" w:rsidRPr="006D389B" w:rsidRDefault="00481F1D" w:rsidP="00825E0B">
            <w:pPr>
              <w:rPr>
                <w:szCs w:val="22"/>
              </w:rPr>
            </w:pPr>
            <w:r w:rsidRPr="006D389B">
              <w:rPr>
                <w:szCs w:val="22"/>
              </w:rPr>
              <w:t>The expenses that are considered qualified education expenses</w:t>
            </w:r>
            <w:r w:rsidR="00A95039" w:rsidRPr="006D389B">
              <w:rPr>
                <w:szCs w:val="22"/>
              </w:rPr>
              <w:fldChar w:fldCharType="begin"/>
            </w:r>
            <w:r w:rsidR="00500F1D">
              <w:instrText xml:space="preserve"> XE "</w:instrText>
            </w:r>
            <w:r w:rsidR="00500F1D" w:rsidRPr="006D389B">
              <w:rPr>
                <w:szCs w:val="22"/>
              </w:rPr>
              <w:instrText>qualified education expenses</w:instrText>
            </w:r>
            <w:r w:rsidR="00500F1D">
              <w:instrText xml:space="preserve">" </w:instrText>
            </w:r>
            <w:r w:rsidR="00A95039" w:rsidRPr="006D389B">
              <w:rPr>
                <w:szCs w:val="22"/>
              </w:rPr>
              <w:fldChar w:fldCharType="end"/>
            </w:r>
            <w:r w:rsidRPr="006D389B">
              <w:rPr>
                <w:szCs w:val="22"/>
              </w:rPr>
              <w:t xml:space="preserve"> for purposes of the Coverdell ESA include higher education expenses and elementary and secondary education expenses.</w:t>
            </w:r>
            <w:r w:rsidR="00297ACB" w:rsidRPr="006D389B">
              <w:rPr>
                <w:szCs w:val="22"/>
              </w:rPr>
              <w:t xml:space="preserve"> </w:t>
            </w:r>
            <w:r w:rsidRPr="006D389B">
              <w:rPr>
                <w:szCs w:val="22"/>
              </w:rPr>
              <w:t>Higher education expenses include tuition, fees, books, supplies, equipment and room and board.</w:t>
            </w:r>
            <w:r w:rsidR="00297ACB" w:rsidRPr="006D389B">
              <w:rPr>
                <w:szCs w:val="22"/>
              </w:rPr>
              <w:t xml:space="preserve"> </w:t>
            </w:r>
            <w:r w:rsidRPr="006D389B">
              <w:rPr>
                <w:szCs w:val="22"/>
              </w:rPr>
              <w:t>Elementary and secondary education expenses include tuition, fees, academic tutoring, special needs services, books, supplies, uniforms, transportation and other supplementary items and services.</w:t>
            </w:r>
            <w:r w:rsidR="00297ACB" w:rsidRPr="006D389B">
              <w:rPr>
                <w:szCs w:val="22"/>
              </w:rPr>
              <w:t xml:space="preserve"> </w:t>
            </w:r>
            <w:r w:rsidRPr="006D389B">
              <w:rPr>
                <w:szCs w:val="22"/>
              </w:rPr>
              <w:t>In addition, qualified education expenses include amounts contributed to a qualified tuition program.</w:t>
            </w:r>
          </w:p>
        </w:tc>
      </w:tr>
      <w:tr w:rsidR="00481F1D" w:rsidRPr="006D389B" w14:paraId="6555B083" w14:textId="77777777" w:rsidTr="006D389B">
        <w:tc>
          <w:tcPr>
            <w:tcW w:w="2178" w:type="dxa"/>
          </w:tcPr>
          <w:p w14:paraId="63297B0D" w14:textId="77777777" w:rsidR="00481F1D" w:rsidRPr="006D389B" w:rsidRDefault="00481F1D" w:rsidP="00825E0B">
            <w:pPr>
              <w:rPr>
                <w:b/>
                <w:szCs w:val="22"/>
              </w:rPr>
            </w:pPr>
            <w:r w:rsidRPr="006D389B">
              <w:rPr>
                <w:b/>
                <w:szCs w:val="22"/>
              </w:rPr>
              <w:t>Required beginning date</w:t>
            </w:r>
          </w:p>
        </w:tc>
        <w:tc>
          <w:tcPr>
            <w:tcW w:w="6678" w:type="dxa"/>
          </w:tcPr>
          <w:p w14:paraId="496290B1" w14:textId="77777777" w:rsidR="00481F1D" w:rsidRPr="006D389B" w:rsidRDefault="00481F1D" w:rsidP="00212181">
            <w:pPr>
              <w:rPr>
                <w:szCs w:val="22"/>
              </w:rPr>
            </w:pPr>
            <w:r w:rsidRPr="006D389B">
              <w:rPr>
                <w:szCs w:val="22"/>
              </w:rPr>
              <w:t xml:space="preserve">The Internal Revenue Code permits the individual to delay taking required </w:t>
            </w:r>
            <w:r w:rsidR="00212181">
              <w:rPr>
                <w:szCs w:val="22"/>
              </w:rPr>
              <w:t xml:space="preserve">minimum </w:t>
            </w:r>
            <w:r w:rsidRPr="006D389B">
              <w:rPr>
                <w:szCs w:val="22"/>
              </w:rPr>
              <w:t>distributions from a traditional IRA</w:t>
            </w:r>
            <w:r w:rsidR="00A95039" w:rsidRPr="006D389B">
              <w:rPr>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szCs w:val="22"/>
              </w:rPr>
              <w:fldChar w:fldCharType="end"/>
            </w:r>
            <w:r w:rsidRPr="006D389B">
              <w:rPr>
                <w:szCs w:val="22"/>
              </w:rPr>
              <w:t xml:space="preserve"> until April 1</w:t>
            </w:r>
            <w:r w:rsidRPr="006D389B">
              <w:rPr>
                <w:szCs w:val="22"/>
                <w:vertAlign w:val="superscript"/>
              </w:rPr>
              <w:t>st</w:t>
            </w:r>
            <w:r w:rsidRPr="006D389B">
              <w:rPr>
                <w:szCs w:val="22"/>
              </w:rPr>
              <w:t xml:space="preserve"> of the year following the year in which he or she turns age 70½</w:t>
            </w:r>
            <w:r w:rsidR="00A95039" w:rsidRPr="006D389B">
              <w:rPr>
                <w:szCs w:val="22"/>
              </w:rPr>
              <w:fldChar w:fldCharType="begin"/>
            </w:r>
            <w:r w:rsidR="00293611">
              <w:instrText xml:space="preserve"> XE "</w:instrText>
            </w:r>
            <w:r w:rsidR="00293611" w:rsidRPr="006D389B">
              <w:rPr>
                <w:szCs w:val="22"/>
              </w:rPr>
              <w:instrText>age 70½</w:instrText>
            </w:r>
            <w:r w:rsidR="00293611">
              <w:instrText xml:space="preserve">" </w:instrText>
            </w:r>
            <w:r w:rsidR="00A95039" w:rsidRPr="006D389B">
              <w:rPr>
                <w:szCs w:val="22"/>
              </w:rPr>
              <w:fldChar w:fldCharType="end"/>
            </w:r>
            <w:r w:rsidRPr="006D389B">
              <w:rPr>
                <w:szCs w:val="22"/>
              </w:rPr>
              <w:t>.</w:t>
            </w:r>
            <w:r w:rsidR="00297ACB" w:rsidRPr="006D389B">
              <w:rPr>
                <w:szCs w:val="22"/>
              </w:rPr>
              <w:t xml:space="preserve"> </w:t>
            </w:r>
            <w:r w:rsidRPr="006D389B">
              <w:rPr>
                <w:szCs w:val="22"/>
              </w:rPr>
              <w:t xml:space="preserve">This is known as the </w:t>
            </w:r>
            <w:r w:rsidR="00297ACB" w:rsidRPr="006D389B">
              <w:rPr>
                <w:szCs w:val="22"/>
              </w:rPr>
              <w:t>“</w:t>
            </w:r>
            <w:r w:rsidRPr="006D389B">
              <w:rPr>
                <w:szCs w:val="22"/>
              </w:rPr>
              <w:t>required beginning date</w:t>
            </w:r>
            <w:r w:rsidR="00A95039" w:rsidRPr="006D389B">
              <w:rPr>
                <w:szCs w:val="22"/>
              </w:rPr>
              <w:fldChar w:fldCharType="begin"/>
            </w:r>
            <w:r w:rsidR="00293611">
              <w:instrText xml:space="preserve"> XE "</w:instrText>
            </w:r>
            <w:r w:rsidR="00293611" w:rsidRPr="006D389B">
              <w:rPr>
                <w:szCs w:val="22"/>
              </w:rPr>
              <w:instrText>required beginning date</w:instrText>
            </w:r>
            <w:r w:rsidR="00293611">
              <w:instrText xml:space="preserve">" </w:instrText>
            </w:r>
            <w:r w:rsidR="00A95039" w:rsidRPr="006D389B">
              <w:rPr>
                <w:szCs w:val="22"/>
              </w:rPr>
              <w:fldChar w:fldCharType="end"/>
            </w:r>
            <w:r w:rsidRPr="006D389B">
              <w:rPr>
                <w:szCs w:val="22"/>
              </w:rPr>
              <w:t>.</w:t>
            </w:r>
            <w:r w:rsidR="00297ACB" w:rsidRPr="006D389B">
              <w:rPr>
                <w:szCs w:val="22"/>
              </w:rPr>
              <w:t>”</w:t>
            </w:r>
          </w:p>
        </w:tc>
      </w:tr>
      <w:tr w:rsidR="00481F1D" w:rsidRPr="006D389B" w14:paraId="309F5D52" w14:textId="77777777" w:rsidTr="006D389B">
        <w:tc>
          <w:tcPr>
            <w:tcW w:w="2178" w:type="dxa"/>
          </w:tcPr>
          <w:p w14:paraId="2361861B" w14:textId="77777777" w:rsidR="00481F1D" w:rsidRPr="006D389B" w:rsidRDefault="00481F1D" w:rsidP="00825E0B">
            <w:pPr>
              <w:rPr>
                <w:b/>
                <w:szCs w:val="22"/>
              </w:rPr>
            </w:pPr>
            <w:r w:rsidRPr="006D389B">
              <w:rPr>
                <w:b/>
                <w:szCs w:val="22"/>
              </w:rPr>
              <w:t>Rollover</w:t>
            </w:r>
          </w:p>
        </w:tc>
        <w:tc>
          <w:tcPr>
            <w:tcW w:w="6678" w:type="dxa"/>
          </w:tcPr>
          <w:p w14:paraId="6F627E97" w14:textId="77777777" w:rsidR="00481F1D" w:rsidRPr="006D389B" w:rsidRDefault="00481F1D" w:rsidP="00825E0B">
            <w:pPr>
              <w:rPr>
                <w:szCs w:val="22"/>
              </w:rPr>
            </w:pPr>
            <w:r w:rsidRPr="006D389B">
              <w:rPr>
                <w:szCs w:val="22"/>
              </w:rPr>
              <w:t>A rollover</w:t>
            </w:r>
            <w:r w:rsidR="00A95039" w:rsidRPr="006D389B">
              <w:rPr>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szCs w:val="22"/>
              </w:rPr>
              <w:fldChar w:fldCharType="end"/>
            </w:r>
            <w:r w:rsidRPr="006D389B">
              <w:rPr>
                <w:szCs w:val="22"/>
              </w:rPr>
              <w:t xml:space="preserve"> is the transfer of a distribution from certain specified tax-advantaged plans that follows the rules set out in the Internal Revenue Code and Regulations and which enables the individual to maintain the former plan’s tax advantages with respect to the amount transferred.</w:t>
            </w:r>
          </w:p>
        </w:tc>
      </w:tr>
      <w:tr w:rsidR="00481F1D" w:rsidRPr="006D389B" w14:paraId="38B0A66D" w14:textId="77777777" w:rsidTr="006D389B">
        <w:tc>
          <w:tcPr>
            <w:tcW w:w="2178" w:type="dxa"/>
          </w:tcPr>
          <w:p w14:paraId="6CCBCD02" w14:textId="77777777" w:rsidR="00481F1D" w:rsidRPr="006D389B" w:rsidRDefault="00481F1D" w:rsidP="00825E0B">
            <w:pPr>
              <w:rPr>
                <w:b/>
                <w:szCs w:val="22"/>
              </w:rPr>
            </w:pPr>
            <w:r w:rsidRPr="006D389B">
              <w:rPr>
                <w:b/>
                <w:szCs w:val="22"/>
              </w:rPr>
              <w:t>Roth IRA</w:t>
            </w:r>
            <w:r w:rsidR="00A95039" w:rsidRPr="006D389B">
              <w:rPr>
                <w:b/>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b/>
                <w:szCs w:val="22"/>
              </w:rPr>
              <w:fldChar w:fldCharType="end"/>
            </w:r>
          </w:p>
        </w:tc>
        <w:tc>
          <w:tcPr>
            <w:tcW w:w="6678" w:type="dxa"/>
          </w:tcPr>
          <w:p w14:paraId="6184A4BC" w14:textId="77777777" w:rsidR="00481F1D" w:rsidRPr="006D389B" w:rsidRDefault="00481F1D" w:rsidP="00825E0B">
            <w:pPr>
              <w:rPr>
                <w:szCs w:val="22"/>
              </w:rPr>
            </w:pPr>
            <w:r w:rsidRPr="006D389B">
              <w:rPr>
                <w:szCs w:val="22"/>
              </w:rPr>
              <w:t>A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is a personal retirement savings plan, funded by an annuity or trust/custodial account, which provides income tax deferral and may provide tax-free distribution of earnings.</w:t>
            </w:r>
            <w:r w:rsidR="00297ACB" w:rsidRPr="006D389B">
              <w:rPr>
                <w:szCs w:val="22"/>
              </w:rPr>
              <w:t xml:space="preserve"> </w:t>
            </w:r>
            <w:r w:rsidRPr="006D389B">
              <w:rPr>
                <w:szCs w:val="22"/>
              </w:rPr>
              <w:t>Eligibility for a Roth IRA is limited to individuals, regardless of age or qualified plan participation, provided they don’t exceed certain adjusted gross income</w:t>
            </w:r>
            <w:r w:rsidR="00A95039" w:rsidRPr="006D389B">
              <w:rPr>
                <w:szCs w:val="22"/>
              </w:rPr>
              <w:fldChar w:fldCharType="begin"/>
            </w:r>
            <w:r w:rsidR="00293611">
              <w:instrText xml:space="preserve"> XE "</w:instrText>
            </w:r>
            <w:r w:rsidR="00293611" w:rsidRPr="006D389B">
              <w:rPr>
                <w:szCs w:val="22"/>
              </w:rPr>
              <w:instrText>adjusted gross income</w:instrText>
            </w:r>
            <w:r w:rsidR="00293611">
              <w:instrText xml:space="preserve">" </w:instrText>
            </w:r>
            <w:r w:rsidR="00A95039" w:rsidRPr="006D389B">
              <w:rPr>
                <w:szCs w:val="22"/>
              </w:rPr>
              <w:fldChar w:fldCharType="end"/>
            </w:r>
            <w:r w:rsidRPr="006D389B">
              <w:rPr>
                <w:szCs w:val="22"/>
              </w:rPr>
              <w:t xml:space="preserve"> limits.</w:t>
            </w:r>
          </w:p>
        </w:tc>
      </w:tr>
      <w:tr w:rsidR="00481F1D" w:rsidRPr="006D389B" w14:paraId="35C7F79D" w14:textId="77777777" w:rsidTr="006D389B">
        <w:tc>
          <w:tcPr>
            <w:tcW w:w="2178" w:type="dxa"/>
          </w:tcPr>
          <w:p w14:paraId="6BED6D2D" w14:textId="77777777" w:rsidR="00481F1D" w:rsidRPr="006D389B" w:rsidRDefault="00481F1D" w:rsidP="00825E0B">
            <w:pPr>
              <w:rPr>
                <w:b/>
                <w:szCs w:val="22"/>
              </w:rPr>
            </w:pPr>
            <w:r w:rsidRPr="006D389B">
              <w:rPr>
                <w:b/>
                <w:szCs w:val="22"/>
              </w:rPr>
              <w:t>Saver’s credit</w:t>
            </w:r>
          </w:p>
        </w:tc>
        <w:tc>
          <w:tcPr>
            <w:tcW w:w="6678" w:type="dxa"/>
          </w:tcPr>
          <w:p w14:paraId="0E823F6D" w14:textId="77777777" w:rsidR="00481F1D" w:rsidRPr="006D389B" w:rsidRDefault="00481F1D" w:rsidP="00825E0B">
            <w:pPr>
              <w:rPr>
                <w:szCs w:val="22"/>
              </w:rPr>
            </w:pPr>
            <w:r w:rsidRPr="006D389B">
              <w:rPr>
                <w:szCs w:val="22"/>
              </w:rPr>
              <w:t xml:space="preserve">The saver’s tax credit is a </w:t>
            </w:r>
            <w:r w:rsidRPr="006D389B">
              <w:rPr>
                <w:i/>
                <w:szCs w:val="22"/>
              </w:rPr>
              <w:t>nonrefundable</w:t>
            </w:r>
            <w:r w:rsidRPr="006D389B">
              <w:rPr>
                <w:szCs w:val="22"/>
              </w:rPr>
              <w:t xml:space="preserve"> credit that is designed to encourage certain lower-income individuals to contribute to an IRA and is limited to the applicable percentage of traditional or Roth IRA</w:t>
            </w:r>
            <w:r w:rsidR="00A95039" w:rsidRPr="006D389B">
              <w:rPr>
                <w:szCs w:val="22"/>
              </w:rPr>
              <w:fldChar w:fldCharType="begin"/>
            </w:r>
            <w:r w:rsidR="00293611">
              <w:instrText xml:space="preserve"> XE "</w:instrText>
            </w:r>
            <w:r w:rsidR="00293611" w:rsidRPr="006D389B">
              <w:rPr>
                <w:szCs w:val="22"/>
              </w:rPr>
              <w:instrText>Roth IRA</w:instrText>
            </w:r>
            <w:r w:rsidR="00293611">
              <w:instrText xml:space="preserve">" </w:instrText>
            </w:r>
            <w:r w:rsidR="00A95039" w:rsidRPr="006D389B">
              <w:rPr>
                <w:szCs w:val="22"/>
              </w:rPr>
              <w:fldChar w:fldCharType="end"/>
            </w:r>
            <w:r w:rsidRPr="006D389B">
              <w:rPr>
                <w:szCs w:val="22"/>
              </w:rPr>
              <w:t xml:space="preserve"> contributions up to $2,000.</w:t>
            </w:r>
          </w:p>
        </w:tc>
      </w:tr>
      <w:tr w:rsidR="00481F1D" w:rsidRPr="006D389B" w14:paraId="0714EF33" w14:textId="77777777" w:rsidTr="006D389B">
        <w:tc>
          <w:tcPr>
            <w:tcW w:w="2178" w:type="dxa"/>
          </w:tcPr>
          <w:p w14:paraId="537312A8" w14:textId="77777777" w:rsidR="00481F1D" w:rsidRPr="006D389B" w:rsidRDefault="00481F1D" w:rsidP="00825E0B">
            <w:pPr>
              <w:rPr>
                <w:b/>
                <w:szCs w:val="22"/>
              </w:rPr>
            </w:pPr>
            <w:r w:rsidRPr="006D389B">
              <w:rPr>
                <w:b/>
                <w:szCs w:val="22"/>
              </w:rPr>
              <w:t>Savings Incentive Match Plan for Employees</w:t>
            </w:r>
            <w:r w:rsidR="00A95039" w:rsidRPr="006D389B">
              <w:rPr>
                <w:b/>
                <w:szCs w:val="22"/>
              </w:rPr>
              <w:fldChar w:fldCharType="begin"/>
            </w:r>
            <w:r w:rsidR="00500F1D">
              <w:instrText xml:space="preserve"> XE "</w:instrText>
            </w:r>
            <w:r w:rsidR="00500F1D" w:rsidRPr="006D389B">
              <w:rPr>
                <w:szCs w:val="22"/>
                <w:u w:val="single"/>
              </w:rPr>
              <w:instrText>S</w:instrText>
            </w:r>
            <w:r w:rsidR="00500F1D" w:rsidRPr="006D389B">
              <w:rPr>
                <w:szCs w:val="22"/>
              </w:rPr>
              <w:instrText xml:space="preserve">avings </w:instrText>
            </w:r>
            <w:r w:rsidR="00500F1D" w:rsidRPr="006D389B">
              <w:rPr>
                <w:szCs w:val="22"/>
                <w:u w:val="single"/>
              </w:rPr>
              <w:instrText>I</w:instrText>
            </w:r>
            <w:r w:rsidR="00500F1D" w:rsidRPr="006D389B">
              <w:rPr>
                <w:szCs w:val="22"/>
              </w:rPr>
              <w:instrText xml:space="preserve">ncentive </w:instrText>
            </w:r>
            <w:r w:rsidR="00500F1D" w:rsidRPr="006D389B">
              <w:rPr>
                <w:szCs w:val="22"/>
                <w:u w:val="single"/>
              </w:rPr>
              <w:instrText>M</w:instrText>
            </w:r>
            <w:r w:rsidR="00500F1D" w:rsidRPr="006D389B">
              <w:rPr>
                <w:szCs w:val="22"/>
              </w:rPr>
              <w:instrText xml:space="preserve">atch </w:instrText>
            </w:r>
            <w:r w:rsidR="00500F1D" w:rsidRPr="006D389B">
              <w:rPr>
                <w:szCs w:val="22"/>
                <w:u w:val="single"/>
              </w:rPr>
              <w:instrText>Pl</w:instrText>
            </w:r>
            <w:r w:rsidR="00500F1D" w:rsidRPr="006D389B">
              <w:rPr>
                <w:szCs w:val="22"/>
              </w:rPr>
              <w:instrText xml:space="preserve">an for </w:instrText>
            </w:r>
            <w:r w:rsidR="00500F1D" w:rsidRPr="006D389B">
              <w:rPr>
                <w:szCs w:val="22"/>
                <w:u w:val="single"/>
              </w:rPr>
              <w:instrText>E</w:instrText>
            </w:r>
            <w:r w:rsidR="00500F1D" w:rsidRPr="006D389B">
              <w:rPr>
                <w:szCs w:val="22"/>
              </w:rPr>
              <w:instrText>mployees</w:instrText>
            </w:r>
            <w:r w:rsidR="00500F1D">
              <w:instrText xml:space="preserve">" </w:instrText>
            </w:r>
            <w:r w:rsidR="00A95039" w:rsidRPr="006D389B">
              <w:rPr>
                <w:b/>
                <w:szCs w:val="22"/>
              </w:rPr>
              <w:fldChar w:fldCharType="end"/>
            </w:r>
            <w:r w:rsidRPr="006D389B">
              <w:rPr>
                <w:b/>
                <w:szCs w:val="22"/>
              </w:rPr>
              <w:t xml:space="preserve"> (SIMPLE)</w:t>
            </w:r>
          </w:p>
        </w:tc>
        <w:tc>
          <w:tcPr>
            <w:tcW w:w="6678" w:type="dxa"/>
          </w:tcPr>
          <w:p w14:paraId="009FA1F5" w14:textId="77777777" w:rsidR="00481F1D" w:rsidRPr="006D389B" w:rsidRDefault="00481F1D" w:rsidP="00825E0B">
            <w:pPr>
              <w:rPr>
                <w:szCs w:val="22"/>
              </w:rPr>
            </w:pPr>
            <w:r w:rsidRPr="006D389B">
              <w:rPr>
                <w:szCs w:val="22"/>
              </w:rPr>
              <w:t>A SIMPLE IRA plan is a simplified, tax-favored retirement plan for small employers that provides for elective contributions by employees and meets certain vesting, participation and administrative requirements.</w:t>
            </w:r>
          </w:p>
        </w:tc>
      </w:tr>
      <w:tr w:rsidR="00481F1D" w:rsidRPr="006D389B" w14:paraId="323C5A00" w14:textId="77777777" w:rsidTr="006D389B">
        <w:tc>
          <w:tcPr>
            <w:tcW w:w="2178" w:type="dxa"/>
          </w:tcPr>
          <w:p w14:paraId="49293E09" w14:textId="77777777" w:rsidR="00481F1D" w:rsidRPr="006D389B" w:rsidRDefault="00481F1D" w:rsidP="00825E0B">
            <w:pPr>
              <w:rPr>
                <w:b/>
                <w:szCs w:val="22"/>
              </w:rPr>
            </w:pPr>
            <w:r w:rsidRPr="006D389B">
              <w:rPr>
                <w:b/>
                <w:szCs w:val="22"/>
              </w:rPr>
              <w:t>SIMPLE IRA premature distribution</w:t>
            </w:r>
          </w:p>
        </w:tc>
        <w:tc>
          <w:tcPr>
            <w:tcW w:w="6678" w:type="dxa"/>
          </w:tcPr>
          <w:p w14:paraId="4E3DC1B0" w14:textId="77777777" w:rsidR="00481F1D" w:rsidRPr="006D389B" w:rsidRDefault="00481F1D" w:rsidP="00825E0B">
            <w:pPr>
              <w:rPr>
                <w:szCs w:val="22"/>
              </w:rPr>
            </w:pPr>
            <w:r w:rsidRPr="006D389B">
              <w:rPr>
                <w:szCs w:val="22"/>
              </w:rPr>
              <w:t>A premature distribution from a SIMPLE IRA within the first 2 years of employee participation will subject the recipient to a premature distribution tax penalty of 25 percent.</w:t>
            </w:r>
            <w:r w:rsidR="00297ACB" w:rsidRPr="006D389B">
              <w:rPr>
                <w:szCs w:val="22"/>
              </w:rPr>
              <w:t xml:space="preserve"> </w:t>
            </w:r>
            <w:r w:rsidRPr="006D389B">
              <w:rPr>
                <w:szCs w:val="22"/>
              </w:rPr>
              <w:t>Premature distributions after the first 2 years of employee participation are subject to the customary 10 percent.</w:t>
            </w:r>
          </w:p>
        </w:tc>
      </w:tr>
      <w:tr w:rsidR="00481F1D" w:rsidRPr="006D389B" w14:paraId="5CFCDE34" w14:textId="77777777" w:rsidTr="006D389B">
        <w:tc>
          <w:tcPr>
            <w:tcW w:w="2178" w:type="dxa"/>
          </w:tcPr>
          <w:p w14:paraId="50557C67" w14:textId="77777777" w:rsidR="00481F1D" w:rsidRPr="006D389B" w:rsidRDefault="00481F1D" w:rsidP="00825E0B">
            <w:pPr>
              <w:rPr>
                <w:b/>
                <w:szCs w:val="22"/>
              </w:rPr>
            </w:pPr>
            <w:r w:rsidRPr="006D389B">
              <w:rPr>
                <w:b/>
                <w:szCs w:val="22"/>
              </w:rPr>
              <w:t>Simplified employee pension (SEP)</w:t>
            </w:r>
          </w:p>
        </w:tc>
        <w:tc>
          <w:tcPr>
            <w:tcW w:w="6678" w:type="dxa"/>
          </w:tcPr>
          <w:p w14:paraId="7A92636A" w14:textId="77777777" w:rsidR="00431D77" w:rsidRPr="006D389B" w:rsidRDefault="00481F1D" w:rsidP="00825E0B">
            <w:pPr>
              <w:rPr>
                <w:szCs w:val="22"/>
              </w:rPr>
            </w:pPr>
            <w:r w:rsidRPr="006D389B">
              <w:rPr>
                <w:szCs w:val="22"/>
              </w:rPr>
              <w:t>A SEP is an employer’s agreement to contribute to traditional IRAs that are maintained by employees.</w:t>
            </w:r>
            <w:r w:rsidR="00297ACB" w:rsidRPr="006D389B">
              <w:rPr>
                <w:szCs w:val="22"/>
              </w:rPr>
              <w:t xml:space="preserve"> </w:t>
            </w:r>
            <w:r w:rsidRPr="006D389B">
              <w:rPr>
                <w:szCs w:val="22"/>
              </w:rPr>
              <w:t>The plan can be adopted by an employer by completing a fairly simple IRS form.</w:t>
            </w:r>
            <w:r w:rsidR="00297ACB" w:rsidRPr="006D389B">
              <w:rPr>
                <w:szCs w:val="22"/>
              </w:rPr>
              <w:t xml:space="preserve"> </w:t>
            </w:r>
            <w:r w:rsidRPr="006D389B">
              <w:rPr>
                <w:szCs w:val="22"/>
              </w:rPr>
              <w:t>A SEP allows for higher contribution levels than traditional or Roth IRAs</w:t>
            </w:r>
            <w:r w:rsidR="00A95039" w:rsidRPr="006D389B">
              <w:rPr>
                <w:szCs w:val="22"/>
              </w:rPr>
              <w:fldChar w:fldCharType="begin"/>
            </w:r>
            <w:r w:rsidR="00293611">
              <w:instrText xml:space="preserve"> XE "</w:instrText>
            </w:r>
            <w:r w:rsidR="00293611" w:rsidRPr="00CD56BD">
              <w:instrText>Roth IRAs</w:instrText>
            </w:r>
            <w:r w:rsidR="00293611">
              <w:instrText xml:space="preserve">" </w:instrText>
            </w:r>
            <w:r w:rsidR="00A95039" w:rsidRPr="006D389B">
              <w:rPr>
                <w:szCs w:val="22"/>
              </w:rPr>
              <w:fldChar w:fldCharType="end"/>
            </w:r>
            <w:r w:rsidRPr="006D389B">
              <w:rPr>
                <w:szCs w:val="22"/>
              </w:rPr>
              <w:t>, has fewer restrictions than qualified retirement plans and, unlike SIMPLEs, there is no limit on the number of employees in the plan.</w:t>
            </w:r>
            <w:r w:rsidR="00297ACB" w:rsidRPr="006D389B">
              <w:rPr>
                <w:szCs w:val="22"/>
              </w:rPr>
              <w:t xml:space="preserve"> </w:t>
            </w:r>
            <w:r w:rsidRPr="006D389B">
              <w:rPr>
                <w:szCs w:val="22"/>
              </w:rPr>
              <w:t>Employees are immediately 100 percent vested in their accounts.</w:t>
            </w:r>
          </w:p>
        </w:tc>
      </w:tr>
    </w:tbl>
    <w:p w14:paraId="6BE5651A" w14:textId="77777777" w:rsidR="00D17804" w:rsidRDefault="00D17804">
      <w:r>
        <w:br w:type="page"/>
      </w:r>
    </w:p>
    <w:tbl>
      <w:tblPr>
        <w:tblW w:w="0" w:type="auto"/>
        <w:tblLook w:val="01E0" w:firstRow="1" w:lastRow="1" w:firstColumn="1" w:lastColumn="1" w:noHBand="0" w:noVBand="0"/>
      </w:tblPr>
      <w:tblGrid>
        <w:gridCol w:w="2178"/>
        <w:gridCol w:w="6678"/>
      </w:tblGrid>
      <w:tr w:rsidR="00481F1D" w:rsidRPr="006D389B" w14:paraId="791ED05D" w14:textId="77777777" w:rsidTr="006D389B">
        <w:tc>
          <w:tcPr>
            <w:tcW w:w="2178" w:type="dxa"/>
          </w:tcPr>
          <w:p w14:paraId="5A648C15" w14:textId="77777777" w:rsidR="00481F1D" w:rsidRPr="006D389B" w:rsidRDefault="00481F1D" w:rsidP="00825E0B">
            <w:pPr>
              <w:rPr>
                <w:b/>
                <w:szCs w:val="22"/>
              </w:rPr>
            </w:pPr>
            <w:r w:rsidRPr="006D389B">
              <w:rPr>
                <w:b/>
                <w:szCs w:val="22"/>
              </w:rPr>
              <w:lastRenderedPageBreak/>
              <w:t>Small employer (SIMPLEs)</w:t>
            </w:r>
          </w:p>
        </w:tc>
        <w:tc>
          <w:tcPr>
            <w:tcW w:w="6678" w:type="dxa"/>
          </w:tcPr>
          <w:p w14:paraId="5E5EE25C" w14:textId="77777777" w:rsidR="00481F1D" w:rsidRPr="006D389B" w:rsidRDefault="00481F1D" w:rsidP="00825E0B">
            <w:pPr>
              <w:rPr>
                <w:szCs w:val="22"/>
              </w:rPr>
            </w:pPr>
            <w:r w:rsidRPr="006D389B">
              <w:rPr>
                <w:szCs w:val="22"/>
              </w:rPr>
              <w:t xml:space="preserve">In the context of SIMPLE plans, a </w:t>
            </w:r>
            <w:r w:rsidR="00297ACB" w:rsidRPr="006D389B">
              <w:rPr>
                <w:szCs w:val="22"/>
              </w:rPr>
              <w:t>“</w:t>
            </w:r>
            <w:r w:rsidRPr="006D389B">
              <w:rPr>
                <w:szCs w:val="22"/>
              </w:rPr>
              <w:t>small employer</w:t>
            </w:r>
            <w:r w:rsidR="00A95039" w:rsidRPr="006D389B">
              <w:rPr>
                <w:szCs w:val="22"/>
              </w:rPr>
              <w:fldChar w:fldCharType="begin"/>
            </w:r>
            <w:r w:rsidR="00500F1D">
              <w:instrText xml:space="preserve"> XE "</w:instrText>
            </w:r>
            <w:r w:rsidR="00500F1D" w:rsidRPr="006D389B">
              <w:rPr>
                <w:szCs w:val="22"/>
              </w:rPr>
              <w:instrText>small employer</w:instrText>
            </w:r>
            <w:r w:rsidR="00500F1D">
              <w:instrText xml:space="preserve">" </w:instrText>
            </w:r>
            <w:r w:rsidR="00A95039" w:rsidRPr="006D389B">
              <w:rPr>
                <w:szCs w:val="22"/>
              </w:rPr>
              <w:fldChar w:fldCharType="end"/>
            </w:r>
            <w:r w:rsidR="00297ACB" w:rsidRPr="006D389B">
              <w:rPr>
                <w:szCs w:val="22"/>
              </w:rPr>
              <w:t>”</w:t>
            </w:r>
            <w:r w:rsidRPr="006D389B">
              <w:rPr>
                <w:szCs w:val="22"/>
              </w:rPr>
              <w:t xml:space="preserve"> is one with 100 or fewer employees earning at least $5,000 annually.</w:t>
            </w:r>
          </w:p>
        </w:tc>
      </w:tr>
      <w:tr w:rsidR="00481F1D" w:rsidRPr="006D389B" w14:paraId="22E3097D" w14:textId="77777777" w:rsidTr="006D389B">
        <w:tc>
          <w:tcPr>
            <w:tcW w:w="2178" w:type="dxa"/>
          </w:tcPr>
          <w:p w14:paraId="2E2C8409" w14:textId="77777777" w:rsidR="00481F1D" w:rsidRPr="006D389B" w:rsidRDefault="00481F1D" w:rsidP="00825E0B">
            <w:pPr>
              <w:rPr>
                <w:b/>
                <w:szCs w:val="22"/>
              </w:rPr>
            </w:pPr>
            <w:r w:rsidRPr="006D389B">
              <w:rPr>
                <w:b/>
                <w:szCs w:val="22"/>
              </w:rPr>
              <w:t>Special needs beneficiary (ESA)</w:t>
            </w:r>
          </w:p>
        </w:tc>
        <w:tc>
          <w:tcPr>
            <w:tcW w:w="6678" w:type="dxa"/>
          </w:tcPr>
          <w:p w14:paraId="7CD217AC" w14:textId="77777777" w:rsidR="00481F1D" w:rsidRPr="006D389B" w:rsidRDefault="00481F1D" w:rsidP="00564918">
            <w:pPr>
              <w:rPr>
                <w:szCs w:val="22"/>
              </w:rPr>
            </w:pPr>
            <w:r w:rsidRPr="006D389B">
              <w:rPr>
                <w:szCs w:val="22"/>
              </w:rPr>
              <w:t>Although a final definition of a special needs beneficiary</w:t>
            </w:r>
            <w:r w:rsidR="00A95039" w:rsidRPr="006D389B">
              <w:rPr>
                <w:szCs w:val="22"/>
              </w:rPr>
              <w:fldChar w:fldCharType="begin"/>
            </w:r>
            <w:r w:rsidR="00500F1D">
              <w:instrText xml:space="preserve"> XE "</w:instrText>
            </w:r>
            <w:r w:rsidR="00500F1D" w:rsidRPr="006D389B">
              <w:rPr>
                <w:i/>
                <w:szCs w:val="22"/>
              </w:rPr>
              <w:instrText>special needs beneficiary</w:instrText>
            </w:r>
            <w:r w:rsidR="00500F1D">
              <w:instrText xml:space="preserve">" </w:instrText>
            </w:r>
            <w:r w:rsidR="00A95039" w:rsidRPr="006D389B">
              <w:rPr>
                <w:szCs w:val="22"/>
              </w:rPr>
              <w:fldChar w:fldCharType="end"/>
            </w:r>
            <w:r w:rsidRPr="006D389B">
              <w:rPr>
                <w:szCs w:val="22"/>
              </w:rPr>
              <w:t xml:space="preserve"> has not yet been provided, a special needs beneficiary—as that term is used with respect to a Coverdell ESA—is expected to include individuals who require additional time to complete their education</w:t>
            </w:r>
            <w:r w:rsidR="00564918">
              <w:rPr>
                <w:szCs w:val="22"/>
              </w:rPr>
              <w:t>.</w:t>
            </w:r>
            <w:r w:rsidRPr="006D389B">
              <w:rPr>
                <w:szCs w:val="22"/>
              </w:rPr>
              <w:t xml:space="preserve"> </w:t>
            </w:r>
            <w:r w:rsidR="00564918">
              <w:t xml:space="preserve"> A “special needs student” is a student whose physical, mental or emotional limitations require special accommodations to enable the student to successfully pursue higher education.</w:t>
            </w:r>
          </w:p>
        </w:tc>
      </w:tr>
      <w:tr w:rsidR="00481F1D" w:rsidRPr="006D389B" w14:paraId="51B532B1" w14:textId="77777777" w:rsidTr="006D389B">
        <w:tc>
          <w:tcPr>
            <w:tcW w:w="2178" w:type="dxa"/>
          </w:tcPr>
          <w:p w14:paraId="7AEFB861" w14:textId="77777777" w:rsidR="00481F1D" w:rsidRPr="006D389B" w:rsidRDefault="00481F1D" w:rsidP="00825E0B">
            <w:pPr>
              <w:rPr>
                <w:b/>
                <w:szCs w:val="22"/>
              </w:rPr>
            </w:pPr>
            <w:r w:rsidRPr="006D389B">
              <w:rPr>
                <w:b/>
                <w:szCs w:val="22"/>
              </w:rPr>
              <w:t>Spousal IRA</w:t>
            </w:r>
          </w:p>
        </w:tc>
        <w:tc>
          <w:tcPr>
            <w:tcW w:w="6678" w:type="dxa"/>
          </w:tcPr>
          <w:p w14:paraId="59815560" w14:textId="77777777" w:rsidR="00481F1D" w:rsidRPr="006D389B" w:rsidRDefault="00481F1D" w:rsidP="00825E0B">
            <w:pPr>
              <w:rPr>
                <w:szCs w:val="22"/>
              </w:rPr>
            </w:pPr>
            <w:r w:rsidRPr="006D389B">
              <w:rPr>
                <w:szCs w:val="22"/>
              </w:rPr>
              <w:t>A spousal IRA</w:t>
            </w:r>
            <w:r w:rsidR="00A95039" w:rsidRPr="006D389B">
              <w:rPr>
                <w:szCs w:val="22"/>
              </w:rPr>
              <w:fldChar w:fldCharType="begin"/>
            </w:r>
            <w:r w:rsidR="00293611">
              <w:instrText xml:space="preserve"> XE "</w:instrText>
            </w:r>
            <w:r w:rsidR="00293611" w:rsidRPr="006D389B">
              <w:rPr>
                <w:szCs w:val="22"/>
              </w:rPr>
              <w:instrText>spousal IRA</w:instrText>
            </w:r>
            <w:r w:rsidR="00293611">
              <w:instrText xml:space="preserve">" </w:instrText>
            </w:r>
            <w:r w:rsidR="00A95039" w:rsidRPr="006D389B">
              <w:rPr>
                <w:szCs w:val="22"/>
              </w:rPr>
              <w:fldChar w:fldCharType="end"/>
            </w:r>
            <w:r w:rsidRPr="006D389B">
              <w:rPr>
                <w:szCs w:val="22"/>
              </w:rPr>
              <w:t xml:space="preserve"> is an individual retirement plan designed to provide retirement benefits for an uncompensated spouse.</w:t>
            </w:r>
            <w:r w:rsidR="00297ACB" w:rsidRPr="006D389B">
              <w:rPr>
                <w:szCs w:val="22"/>
              </w:rPr>
              <w:t xml:space="preserve"> </w:t>
            </w:r>
            <w:r w:rsidRPr="006D389B">
              <w:rPr>
                <w:szCs w:val="22"/>
              </w:rPr>
              <w:t>Although the participant in a spousal IRA is not required to meet the earned income</w:t>
            </w:r>
            <w:r w:rsidR="00A95039" w:rsidRPr="006D389B">
              <w:rPr>
                <w:szCs w:val="22"/>
              </w:rPr>
              <w:fldChar w:fldCharType="begin"/>
            </w:r>
            <w:r w:rsidR="00293611">
              <w:instrText xml:space="preserve"> XE "</w:instrText>
            </w:r>
            <w:r w:rsidR="00293611" w:rsidRPr="006D389B">
              <w:rPr>
                <w:szCs w:val="22"/>
              </w:rPr>
              <w:instrText>earned income</w:instrText>
            </w:r>
            <w:r w:rsidR="00293611">
              <w:instrText xml:space="preserve">" </w:instrText>
            </w:r>
            <w:r w:rsidR="00A95039" w:rsidRPr="006D389B">
              <w:rPr>
                <w:szCs w:val="22"/>
              </w:rPr>
              <w:fldChar w:fldCharType="end"/>
            </w:r>
            <w:r w:rsidRPr="006D389B">
              <w:rPr>
                <w:szCs w:val="22"/>
              </w:rPr>
              <w:t xml:space="preserve"> requirement for contribution to an IRA, the spousal IRA is available only if the participant is married and filing federal income tax on a joint basis.</w:t>
            </w:r>
            <w:r w:rsidR="00297ACB" w:rsidRPr="006D389B">
              <w:rPr>
                <w:szCs w:val="22"/>
              </w:rPr>
              <w:t xml:space="preserve"> </w:t>
            </w:r>
            <w:r w:rsidRPr="006D389B">
              <w:rPr>
                <w:szCs w:val="22"/>
              </w:rPr>
              <w:t xml:space="preserve"> A spousal IRA, if established, must be a separate account and not commingled with the working spouse’s IRA.</w:t>
            </w:r>
          </w:p>
        </w:tc>
      </w:tr>
      <w:tr w:rsidR="00481F1D" w:rsidRPr="006D389B" w14:paraId="1B3A80F4" w14:textId="77777777" w:rsidTr="006D389B">
        <w:tc>
          <w:tcPr>
            <w:tcW w:w="2178" w:type="dxa"/>
          </w:tcPr>
          <w:p w14:paraId="2F66A2F1" w14:textId="77777777" w:rsidR="00481F1D" w:rsidRPr="006D389B" w:rsidRDefault="00481F1D" w:rsidP="00825E0B">
            <w:pPr>
              <w:rPr>
                <w:b/>
                <w:szCs w:val="22"/>
              </w:rPr>
            </w:pPr>
            <w:r w:rsidRPr="006D389B">
              <w:rPr>
                <w:b/>
                <w:szCs w:val="22"/>
              </w:rPr>
              <w:t>Tax deferral</w:t>
            </w:r>
            <w:r w:rsidR="00A95039" w:rsidRPr="006D389B">
              <w:rPr>
                <w:b/>
                <w:szCs w:val="22"/>
              </w:rPr>
              <w:fldChar w:fldCharType="begin"/>
            </w:r>
            <w:r w:rsidR="00293611">
              <w:instrText xml:space="preserve"> XE "</w:instrText>
            </w:r>
            <w:r w:rsidR="00293611" w:rsidRPr="00CD56BD">
              <w:instrText>Tax deferral</w:instrText>
            </w:r>
            <w:r w:rsidR="00293611">
              <w:instrText xml:space="preserve">" </w:instrText>
            </w:r>
            <w:r w:rsidR="00A95039" w:rsidRPr="006D389B">
              <w:rPr>
                <w:b/>
                <w:szCs w:val="22"/>
              </w:rPr>
              <w:fldChar w:fldCharType="end"/>
            </w:r>
          </w:p>
        </w:tc>
        <w:tc>
          <w:tcPr>
            <w:tcW w:w="6678" w:type="dxa"/>
          </w:tcPr>
          <w:p w14:paraId="0F85CDF2" w14:textId="77777777" w:rsidR="00481F1D" w:rsidRPr="006D389B" w:rsidRDefault="00481F1D" w:rsidP="00825E0B">
            <w:pPr>
              <w:rPr>
                <w:szCs w:val="22"/>
              </w:rPr>
            </w:pPr>
            <w:r w:rsidRPr="006D389B">
              <w:rPr>
                <w:szCs w:val="22"/>
              </w:rPr>
              <w:t>Tax deferral</w:t>
            </w:r>
            <w:r w:rsidR="00A95039" w:rsidRPr="006D389B">
              <w:rPr>
                <w:szCs w:val="22"/>
              </w:rPr>
              <w:fldChar w:fldCharType="begin"/>
            </w:r>
            <w:r w:rsidR="00293611">
              <w:instrText xml:space="preserve"> XE "</w:instrText>
            </w:r>
            <w:r w:rsidR="00293611" w:rsidRPr="00CD56BD">
              <w:instrText>Tax deferral</w:instrText>
            </w:r>
            <w:r w:rsidR="00293611">
              <w:instrText xml:space="preserve">" </w:instrText>
            </w:r>
            <w:r w:rsidR="00A95039" w:rsidRPr="006D389B">
              <w:rPr>
                <w:szCs w:val="22"/>
              </w:rPr>
              <w:fldChar w:fldCharType="end"/>
            </w:r>
            <w:r w:rsidRPr="006D389B">
              <w:rPr>
                <w:szCs w:val="22"/>
              </w:rPr>
              <w:t xml:space="preserve"> is a favorable tax treatment under which an account’s earnings are not subject to income taxation until distributed.</w:t>
            </w:r>
          </w:p>
        </w:tc>
      </w:tr>
      <w:tr w:rsidR="00481F1D" w:rsidRPr="006D389B" w14:paraId="316CCA5E" w14:textId="77777777" w:rsidTr="006D389B">
        <w:tc>
          <w:tcPr>
            <w:tcW w:w="2178" w:type="dxa"/>
          </w:tcPr>
          <w:p w14:paraId="2E71C16C" w14:textId="77777777" w:rsidR="00481F1D" w:rsidRPr="006D389B" w:rsidRDefault="00481F1D" w:rsidP="00825E0B">
            <w:pPr>
              <w:rPr>
                <w:b/>
                <w:szCs w:val="22"/>
              </w:rPr>
            </w:pPr>
            <w:r w:rsidRPr="006D389B">
              <w:rPr>
                <w:b/>
                <w:szCs w:val="22"/>
              </w:rPr>
              <w:t>Traditional IRA</w:t>
            </w:r>
          </w:p>
        </w:tc>
        <w:tc>
          <w:tcPr>
            <w:tcW w:w="6678" w:type="dxa"/>
          </w:tcPr>
          <w:p w14:paraId="5D160939" w14:textId="77777777" w:rsidR="00481F1D" w:rsidRPr="006D389B" w:rsidRDefault="00481F1D" w:rsidP="00825E0B">
            <w:pPr>
              <w:rPr>
                <w:szCs w:val="22"/>
              </w:rPr>
            </w:pPr>
            <w:r w:rsidRPr="006D389B">
              <w:rPr>
                <w:szCs w:val="22"/>
              </w:rPr>
              <w:t>A traditional IRA</w:t>
            </w:r>
            <w:r w:rsidR="00A95039" w:rsidRPr="006D389B">
              <w:rPr>
                <w:szCs w:val="22"/>
              </w:rPr>
              <w:fldChar w:fldCharType="begin"/>
            </w:r>
            <w:r w:rsidR="00293611">
              <w:instrText xml:space="preserve"> XE "</w:instrText>
            </w:r>
            <w:r w:rsidR="00293611" w:rsidRPr="006D389B">
              <w:rPr>
                <w:szCs w:val="22"/>
              </w:rPr>
              <w:instrText>traditional IRA</w:instrText>
            </w:r>
            <w:r w:rsidR="00293611">
              <w:instrText xml:space="preserve">" </w:instrText>
            </w:r>
            <w:r w:rsidR="00A95039" w:rsidRPr="006D389B">
              <w:rPr>
                <w:szCs w:val="22"/>
              </w:rPr>
              <w:fldChar w:fldCharType="end"/>
            </w:r>
            <w:r w:rsidRPr="006D389B">
              <w:rPr>
                <w:szCs w:val="22"/>
              </w:rPr>
              <w:t xml:space="preserve"> is a personal retirement savings plan, funded by an annuity or a trust that meets certain requirements and may permit tax-deductible contributions and tax-deferral of earnings.</w:t>
            </w:r>
          </w:p>
        </w:tc>
      </w:tr>
      <w:tr w:rsidR="00481F1D" w:rsidRPr="006D389B" w14:paraId="24B72426" w14:textId="77777777" w:rsidTr="006D389B">
        <w:tc>
          <w:tcPr>
            <w:tcW w:w="2178" w:type="dxa"/>
          </w:tcPr>
          <w:p w14:paraId="359C38E3" w14:textId="77777777" w:rsidR="00481F1D" w:rsidRPr="006D389B" w:rsidRDefault="00481F1D" w:rsidP="00825E0B">
            <w:pPr>
              <w:rPr>
                <w:b/>
                <w:szCs w:val="22"/>
              </w:rPr>
            </w:pPr>
            <w:r w:rsidRPr="006D389B">
              <w:rPr>
                <w:b/>
                <w:szCs w:val="22"/>
              </w:rPr>
              <w:t>Trustee-to-trustee rollover</w:t>
            </w:r>
            <w:r w:rsidR="00A95039" w:rsidRPr="006D389B">
              <w:rPr>
                <w:b/>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b/>
                <w:szCs w:val="22"/>
              </w:rPr>
              <w:fldChar w:fldCharType="end"/>
            </w:r>
          </w:p>
        </w:tc>
        <w:tc>
          <w:tcPr>
            <w:tcW w:w="6678" w:type="dxa"/>
          </w:tcPr>
          <w:p w14:paraId="453F33E8" w14:textId="77777777" w:rsidR="00481F1D" w:rsidRPr="006D389B" w:rsidRDefault="00481F1D" w:rsidP="00825E0B">
            <w:pPr>
              <w:rPr>
                <w:szCs w:val="22"/>
              </w:rPr>
            </w:pPr>
            <w:r w:rsidRPr="006D389B">
              <w:rPr>
                <w:szCs w:val="22"/>
              </w:rPr>
              <w:t>A trustee-to-trustee rollover</w:t>
            </w:r>
            <w:r w:rsidR="00A95039" w:rsidRPr="006D389B">
              <w:rPr>
                <w:szCs w:val="22"/>
              </w:rPr>
              <w:fldChar w:fldCharType="begin"/>
            </w:r>
            <w:r w:rsidR="00293611">
              <w:instrText xml:space="preserve"> XE "</w:instrText>
            </w:r>
            <w:r w:rsidR="00293611" w:rsidRPr="006D389B">
              <w:rPr>
                <w:szCs w:val="22"/>
              </w:rPr>
              <w:instrText>rollover</w:instrText>
            </w:r>
            <w:r w:rsidR="00293611">
              <w:instrText xml:space="preserve">" </w:instrText>
            </w:r>
            <w:r w:rsidR="00A95039" w:rsidRPr="006D389B">
              <w:rPr>
                <w:szCs w:val="22"/>
              </w:rPr>
              <w:fldChar w:fldCharType="end"/>
            </w:r>
            <w:r w:rsidRPr="006D389B">
              <w:rPr>
                <w:szCs w:val="22"/>
              </w:rPr>
              <w:t xml:space="preserve"> is a transfer of funds made directly from the trustee of the existing plan to the trustee of the new plan.</w:t>
            </w:r>
            <w:r w:rsidR="00297ACB" w:rsidRPr="006D389B">
              <w:rPr>
                <w:szCs w:val="22"/>
              </w:rPr>
              <w:t xml:space="preserve"> </w:t>
            </w:r>
            <w:r w:rsidRPr="006D389B">
              <w:rPr>
                <w:szCs w:val="22"/>
              </w:rPr>
              <w:t>By using a trustee-to-trustee rollover of the funds from either a qualified plan, §457 governmental plan or §403(b) tax-sheltered annuity, the participant can avoid the mandatory 20 percent withholding by the transferring trustee.</w:t>
            </w:r>
          </w:p>
        </w:tc>
      </w:tr>
      <w:tr w:rsidR="00481F1D" w:rsidRPr="006D389B" w14:paraId="046E1A93" w14:textId="77777777" w:rsidTr="006D389B">
        <w:tc>
          <w:tcPr>
            <w:tcW w:w="2178" w:type="dxa"/>
          </w:tcPr>
          <w:p w14:paraId="20F2899E" w14:textId="77777777" w:rsidR="00481F1D" w:rsidRPr="006D389B" w:rsidRDefault="00481F1D" w:rsidP="00825E0B">
            <w:pPr>
              <w:rPr>
                <w:b/>
                <w:szCs w:val="22"/>
              </w:rPr>
            </w:pPr>
            <w:r w:rsidRPr="006D389B">
              <w:rPr>
                <w:b/>
                <w:szCs w:val="22"/>
              </w:rPr>
              <w:t>Uniform Lifetime Table</w:t>
            </w:r>
            <w:r w:rsidR="00A95039" w:rsidRPr="006D389B">
              <w:rPr>
                <w:b/>
                <w:szCs w:val="22"/>
              </w:rPr>
              <w:fldChar w:fldCharType="begin"/>
            </w:r>
            <w:r w:rsidR="00293611">
              <w:instrText xml:space="preserve"> XE "</w:instrText>
            </w:r>
            <w:r w:rsidR="00293611" w:rsidRPr="006D389B">
              <w:rPr>
                <w:szCs w:val="22"/>
              </w:rPr>
              <w:instrText>Uniform Lifetime Table</w:instrText>
            </w:r>
            <w:r w:rsidR="00293611">
              <w:instrText xml:space="preserve">" </w:instrText>
            </w:r>
            <w:r w:rsidR="00A95039" w:rsidRPr="006D389B">
              <w:rPr>
                <w:b/>
                <w:szCs w:val="22"/>
              </w:rPr>
              <w:fldChar w:fldCharType="end"/>
            </w:r>
          </w:p>
        </w:tc>
        <w:tc>
          <w:tcPr>
            <w:tcW w:w="6678" w:type="dxa"/>
          </w:tcPr>
          <w:p w14:paraId="139634A3" w14:textId="77777777" w:rsidR="00481F1D" w:rsidRPr="006D389B" w:rsidRDefault="00481F1D" w:rsidP="00825E0B">
            <w:pPr>
              <w:rPr>
                <w:szCs w:val="22"/>
              </w:rPr>
            </w:pPr>
            <w:r w:rsidRPr="006D389B">
              <w:rPr>
                <w:szCs w:val="22"/>
              </w:rPr>
              <w:t>The Uniform Lifetime Table</w:t>
            </w:r>
            <w:r w:rsidR="00A95039" w:rsidRPr="006D389B">
              <w:rPr>
                <w:szCs w:val="22"/>
              </w:rPr>
              <w:fldChar w:fldCharType="begin"/>
            </w:r>
            <w:r w:rsidR="00293611">
              <w:instrText xml:space="preserve"> XE "</w:instrText>
            </w:r>
            <w:r w:rsidR="00293611" w:rsidRPr="006D389B">
              <w:rPr>
                <w:szCs w:val="22"/>
              </w:rPr>
              <w:instrText>Uniform Lifetime Table</w:instrText>
            </w:r>
            <w:r w:rsidR="00293611">
              <w:instrText xml:space="preserve">" </w:instrText>
            </w:r>
            <w:r w:rsidR="00A95039" w:rsidRPr="006D389B">
              <w:rPr>
                <w:szCs w:val="22"/>
              </w:rPr>
              <w:fldChar w:fldCharType="end"/>
            </w:r>
            <w:r w:rsidRPr="006D389B">
              <w:rPr>
                <w:szCs w:val="22"/>
              </w:rPr>
              <w:t>, published by the federal government, governs most lifetime required distributions by prescribing distribution periods depending on the age of the individual.</w:t>
            </w:r>
          </w:p>
        </w:tc>
      </w:tr>
    </w:tbl>
    <w:p w14:paraId="0EFE2636" w14:textId="77777777" w:rsidR="00E243A1" w:rsidRDefault="00E243A1" w:rsidP="00BE502B"/>
    <w:p w14:paraId="470CB0EC" w14:textId="77777777" w:rsidR="00916BBB" w:rsidRDefault="00E243A1" w:rsidP="00E243A1">
      <w:pPr>
        <w:pStyle w:val="Heading2"/>
      </w:pPr>
      <w:r>
        <w:br w:type="page"/>
      </w:r>
      <w:bookmarkStart w:id="197" w:name="_Toc404357256"/>
      <w:r>
        <w:lastRenderedPageBreak/>
        <w:t>Answers to Review Quizzes</w:t>
      </w:r>
      <w:bookmarkEnd w:id="197"/>
    </w:p>
    <w:p w14:paraId="4CEC1644" w14:textId="77777777" w:rsidR="00E243A1" w:rsidRDefault="00E243A1" w:rsidP="00E243A1">
      <w:pPr>
        <w:pStyle w:val="Heading3"/>
      </w:pPr>
      <w:bookmarkStart w:id="198" w:name="_Toc404357257"/>
      <w:r>
        <w:t>Review Quiz #1</w:t>
      </w:r>
      <w:bookmarkEnd w:id="198"/>
    </w:p>
    <w:p w14:paraId="181F01F4" w14:textId="77777777" w:rsidR="00E243A1" w:rsidRDefault="00E243A1" w:rsidP="00E243A1">
      <w:r>
        <w:t>Question 1 Feedback</w:t>
      </w:r>
    </w:p>
    <w:p w14:paraId="789A998C" w14:textId="77777777" w:rsidR="00E243A1" w:rsidRDefault="00E243A1" w:rsidP="007A5E54">
      <w:pPr>
        <w:numPr>
          <w:ilvl w:val="0"/>
          <w:numId w:val="55"/>
        </w:numPr>
        <w:spacing w:before="120"/>
      </w:pPr>
      <w:r>
        <w:t xml:space="preserve">Your answer is correct. </w:t>
      </w:r>
      <w:r w:rsidRPr="00A1571C">
        <w:t>Although the participant in a spousal IRA</w:t>
      </w:r>
      <w:r w:rsidR="00A95039">
        <w:fldChar w:fldCharType="begin"/>
      </w:r>
      <w:r w:rsidR="00293611">
        <w:instrText xml:space="preserve"> XE "</w:instrText>
      </w:r>
      <w:r w:rsidR="00293611" w:rsidRPr="00CD56BD">
        <w:rPr>
          <w:szCs w:val="22"/>
        </w:rPr>
        <w:instrText>spousal IRA</w:instrText>
      </w:r>
      <w:r w:rsidR="00293611">
        <w:instrText xml:space="preserve">" </w:instrText>
      </w:r>
      <w:r w:rsidR="00A95039">
        <w:fldChar w:fldCharType="end"/>
      </w:r>
      <w:r w:rsidRPr="00A1571C">
        <w:t xml:space="preserve"> is not required to meet the earned income</w:t>
      </w:r>
      <w:r w:rsidR="00A95039">
        <w:fldChar w:fldCharType="begin"/>
      </w:r>
      <w:r w:rsidR="00293611">
        <w:instrText xml:space="preserve"> XE "</w:instrText>
      </w:r>
      <w:r w:rsidR="00293611" w:rsidRPr="00CD56BD">
        <w:rPr>
          <w:szCs w:val="22"/>
        </w:rPr>
        <w:instrText>earned income</w:instrText>
      </w:r>
      <w:r w:rsidR="00293611">
        <w:instrText xml:space="preserve">" </w:instrText>
      </w:r>
      <w:r w:rsidR="00A95039">
        <w:fldChar w:fldCharType="end"/>
      </w:r>
      <w:r w:rsidRPr="00A1571C">
        <w:t xml:space="preserve"> requirement for contribution to an IRA, </w:t>
      </w:r>
      <w:r>
        <w:t>a</w:t>
      </w:r>
      <w:r w:rsidRPr="00A1571C">
        <w:t xml:space="preserve"> spousal IRA is available only if the participant is married and filing federal income tax on a joint basis.</w:t>
      </w:r>
      <w:r>
        <w:t xml:space="preserve"> Because Joan files a separate federal income tax return, she is not eligible for a spousal IRA.</w:t>
      </w:r>
    </w:p>
    <w:p w14:paraId="5E017AA1" w14:textId="77777777" w:rsidR="00E243A1" w:rsidRDefault="00E243A1" w:rsidP="007A5E54">
      <w:pPr>
        <w:numPr>
          <w:ilvl w:val="0"/>
          <w:numId w:val="55"/>
        </w:numPr>
        <w:spacing w:before="120"/>
      </w:pPr>
      <w:r>
        <w:t>Your answer is incorrect. The $2,000 IRA maximum contribution limit remained in force for many years but was increased in steps by the Economic Growth and Tax Relief Reconciliation Act of 2001</w:t>
      </w:r>
      <w:r w:rsidR="00A95039">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fldChar w:fldCharType="end"/>
      </w:r>
      <w:r>
        <w:t xml:space="preserve"> (EGTRRA) and is currently $5,</w:t>
      </w:r>
      <w:r w:rsidR="00564918">
        <w:t>5</w:t>
      </w:r>
      <w:r>
        <w:t>00. However, although your answer is incorrect, it was not incorrect because of the EGTRRA increases. Please try again.</w:t>
      </w:r>
    </w:p>
    <w:p w14:paraId="79CA6C8B" w14:textId="77777777" w:rsidR="00E243A1" w:rsidRDefault="00E243A1" w:rsidP="007A5E54">
      <w:pPr>
        <w:numPr>
          <w:ilvl w:val="0"/>
          <w:numId w:val="55"/>
        </w:numPr>
        <w:spacing w:before="120"/>
      </w:pPr>
      <w:r>
        <w:t>Your answer is incorrect. Although you correctly identified the maximum regular IRA contribution amount that might normally be allocated to Joan’s spousal IRA</w:t>
      </w:r>
      <w:r w:rsidR="00A95039">
        <w:fldChar w:fldCharType="begin"/>
      </w:r>
      <w:r w:rsidR="00293611">
        <w:instrText xml:space="preserve"> XE "</w:instrText>
      </w:r>
      <w:r w:rsidR="00293611" w:rsidRPr="00CD56BD">
        <w:rPr>
          <w:szCs w:val="22"/>
        </w:rPr>
        <w:instrText>spousal IRA</w:instrText>
      </w:r>
      <w:r w:rsidR="00293611">
        <w:instrText xml:space="preserve">" </w:instrText>
      </w:r>
      <w:r w:rsidR="00A95039">
        <w:fldChar w:fldCharType="end"/>
      </w:r>
      <w:r>
        <w:t>, it does not apply in this case. Please try again.</w:t>
      </w:r>
    </w:p>
    <w:p w14:paraId="65B30C93" w14:textId="77777777" w:rsidR="00E243A1" w:rsidRDefault="00E243A1" w:rsidP="007A5E54">
      <w:pPr>
        <w:numPr>
          <w:ilvl w:val="0"/>
          <w:numId w:val="55"/>
        </w:numPr>
        <w:spacing w:before="120"/>
      </w:pPr>
      <w:r>
        <w:t>Your answer is incorrect. Your answer choice of $6,</w:t>
      </w:r>
      <w:r w:rsidR="00564918">
        <w:t>5</w:t>
      </w:r>
      <w:r>
        <w:t>00 as the maximum regular IRA contribution is the amount that could normally be allocated to Joan’s spousal IRA</w:t>
      </w:r>
      <w:r w:rsidR="00A95039">
        <w:fldChar w:fldCharType="begin"/>
      </w:r>
      <w:r w:rsidR="00293611">
        <w:instrText xml:space="preserve"> XE "</w:instrText>
      </w:r>
      <w:r w:rsidR="00293611" w:rsidRPr="00CD56BD">
        <w:rPr>
          <w:szCs w:val="22"/>
        </w:rPr>
        <w:instrText>spousal IRA</w:instrText>
      </w:r>
      <w:r w:rsidR="00293611">
        <w:instrText xml:space="preserve">" </w:instrText>
      </w:r>
      <w:r w:rsidR="00A95039">
        <w:fldChar w:fldCharType="end"/>
      </w:r>
      <w:r>
        <w:t xml:space="preserve"> if she were at least age 50 in the year for which the contribution is made. However, the issue here is not Joan’s age. Please try again.        </w:t>
      </w:r>
    </w:p>
    <w:p w14:paraId="20F65BD0" w14:textId="77777777" w:rsidR="00E243A1" w:rsidRDefault="00E243A1" w:rsidP="00E243A1">
      <w:r>
        <w:t>Question 2 Feedback</w:t>
      </w:r>
    </w:p>
    <w:p w14:paraId="262D106F" w14:textId="77777777" w:rsidR="00E243A1" w:rsidRDefault="00E243A1" w:rsidP="007A5E54">
      <w:pPr>
        <w:numPr>
          <w:ilvl w:val="0"/>
          <w:numId w:val="57"/>
        </w:numPr>
        <w:spacing w:before="120"/>
      </w:pPr>
      <w:r>
        <w:t>Your answer is incorrect. Bill’s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of $200,000 in 201</w:t>
      </w:r>
      <w:r w:rsidR="00E944B5">
        <w:t>5</w:t>
      </w:r>
      <w:r>
        <w:t xml:space="preserve"> neither prohibits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nor—given the facts of the question—affects his ability to take a tax deduction</w:t>
      </w:r>
      <w:r w:rsidR="00A95039">
        <w:fldChar w:fldCharType="begin"/>
      </w:r>
      <w:r w:rsidR="00293611">
        <w:instrText xml:space="preserve"> XE "</w:instrText>
      </w:r>
      <w:r w:rsidR="00293611" w:rsidRPr="00CD56BD">
        <w:rPr>
          <w:szCs w:val="22"/>
        </w:rPr>
        <w:instrText>tax deduction</w:instrText>
      </w:r>
      <w:r w:rsidR="00293611">
        <w:instrText xml:space="preserve">" </w:instrText>
      </w:r>
      <w:r w:rsidR="00A95039">
        <w:fldChar w:fldCharType="end"/>
      </w:r>
      <w:r>
        <w:t xml:space="preserve"> for the contribution. Please try again.</w:t>
      </w:r>
    </w:p>
    <w:p w14:paraId="29DC2BF2" w14:textId="77777777" w:rsidR="00E243A1" w:rsidRDefault="00E243A1" w:rsidP="007A5E54">
      <w:pPr>
        <w:numPr>
          <w:ilvl w:val="0"/>
          <w:numId w:val="57"/>
        </w:numPr>
        <w:spacing w:before="120"/>
      </w:pPr>
      <w:r>
        <w:t>Your answer is incorrect. It reflects the limits and rules applicable to IRA contributions in effect prior to the passage of the Economic Growth and Tax Relief Reconciliation Act of 2001</w:t>
      </w:r>
      <w:r w:rsidR="00A95039">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fldChar w:fldCharType="end"/>
      </w:r>
      <w:r>
        <w:t xml:space="preserve"> (EGTRRA). Please try again.</w:t>
      </w:r>
    </w:p>
    <w:p w14:paraId="7E8EB089" w14:textId="77777777" w:rsidR="00E243A1" w:rsidRDefault="00E243A1" w:rsidP="007A5E54">
      <w:pPr>
        <w:numPr>
          <w:ilvl w:val="0"/>
          <w:numId w:val="57"/>
        </w:numPr>
        <w:spacing w:before="120"/>
      </w:pPr>
      <w:r>
        <w:t>Your answer is incorrect. Although Bill would certainly be able to contribute $5,</w:t>
      </w:r>
      <w:r w:rsidR="00564918">
        <w:t>5</w:t>
      </w:r>
      <w:r>
        <w:t>00 to a regular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in 201</w:t>
      </w:r>
      <w:r w:rsidR="00E944B5">
        <w:t>5</w:t>
      </w:r>
      <w:r>
        <w:t xml:space="preserve"> and deduct that amount, your answer does not account for Bill’s age. Please try again.</w:t>
      </w:r>
    </w:p>
    <w:p w14:paraId="43177EDE" w14:textId="77777777" w:rsidR="00E243A1" w:rsidRDefault="00E243A1" w:rsidP="007A5E54">
      <w:pPr>
        <w:numPr>
          <w:ilvl w:val="0"/>
          <w:numId w:val="57"/>
        </w:numPr>
        <w:spacing w:before="120"/>
      </w:pPr>
      <w:r>
        <w:t>Your answer is correct. Bill may make and deduct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in </w:t>
      </w:r>
      <w:r w:rsidR="00E84C06">
        <w:t>201</w:t>
      </w:r>
      <w:r w:rsidR="00E944B5">
        <w:t>5</w:t>
      </w:r>
      <w:r>
        <w:t xml:space="preserve"> that is neither eliminated nor reduced by his relatively high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Because he is age 50 or older, the maximum contribution allowable in 201</w:t>
      </w:r>
      <w:r w:rsidR="00E944B5">
        <w:t>5</w:t>
      </w:r>
      <w:r>
        <w:t xml:space="preserve"> includes both a </w:t>
      </w:r>
      <w:r>
        <w:rPr>
          <w:i/>
        </w:rPr>
        <w:t>regular</w:t>
      </w:r>
      <w:r>
        <w:t xml:space="preserve"> IRA contribution of $5,</w:t>
      </w:r>
      <w:r w:rsidR="00564918">
        <w:t>5</w:t>
      </w:r>
      <w:r>
        <w:t xml:space="preserve">00 and a </w:t>
      </w:r>
      <w:r>
        <w:rPr>
          <w:i/>
        </w:rPr>
        <w:t>catch-up</w:t>
      </w:r>
      <w:r>
        <w:t xml:space="preserve"> contribution of an additional $1,000. Since he is not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an employer-sponsored qualified plan, his entire traditional IRA contribution is tax-deductible. </w:t>
      </w:r>
    </w:p>
    <w:p w14:paraId="776AD14E" w14:textId="77777777" w:rsidR="00E243A1" w:rsidRDefault="00E243A1" w:rsidP="00E243A1">
      <w:pPr>
        <w:spacing w:before="120"/>
        <w:ind w:left="360"/>
      </w:pPr>
      <w:r>
        <w:t>Question 3 Feedback</w:t>
      </w:r>
    </w:p>
    <w:p w14:paraId="57EC8230" w14:textId="77777777" w:rsidR="00E243A1" w:rsidRDefault="00E243A1" w:rsidP="007A5E54">
      <w:pPr>
        <w:numPr>
          <w:ilvl w:val="0"/>
          <w:numId w:val="59"/>
        </w:numPr>
        <w:spacing w:before="120"/>
      </w:pPr>
      <w:r>
        <w:t>Your answer is incorrect. In order for Shirley,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her employer’s qualified plan, to be able to deduct her entire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her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would need to be no more than $</w:t>
      </w:r>
      <w:r w:rsidR="00A87D68">
        <w:t>6</w:t>
      </w:r>
      <w:r w:rsidR="00E944B5">
        <w:t>1</w:t>
      </w:r>
      <w:r>
        <w:t>,000 in 201</w:t>
      </w:r>
      <w:r w:rsidR="00E944B5">
        <w:t>5</w:t>
      </w:r>
      <w:r>
        <w:t>. Please try again.</w:t>
      </w:r>
    </w:p>
    <w:p w14:paraId="274B5829" w14:textId="77777777" w:rsidR="00E243A1" w:rsidRDefault="00E243A1" w:rsidP="007A5E54">
      <w:pPr>
        <w:numPr>
          <w:ilvl w:val="0"/>
          <w:numId w:val="59"/>
        </w:numPr>
        <w:spacing w:before="120"/>
      </w:pPr>
      <w:r>
        <w:t>Your answer is correct. Although Shirley may make a full $5,</w:t>
      </w:r>
      <w:r w:rsidR="00564918">
        <w:t>5</w:t>
      </w:r>
      <w:r>
        <w:t>00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contribution in 201</w:t>
      </w:r>
      <w:r w:rsidR="00E944B5">
        <w:t>5</w:t>
      </w:r>
      <w:r>
        <w:t>, her status as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an employer-sponsored qualified </w:t>
      </w:r>
      <w:r>
        <w:lastRenderedPageBreak/>
        <w:t>retirement plan coupled with her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will result in a reduction in the amount she can deduct from her gross income. The reduction in the amount of her traditional IRA contribution that she can deduct is determined by using the following formula: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540"/>
        <w:gridCol w:w="1438"/>
        <w:gridCol w:w="330"/>
        <w:gridCol w:w="3353"/>
      </w:tblGrid>
      <w:tr w:rsidR="006D389B" w14:paraId="64C6A340" w14:textId="77777777" w:rsidTr="006D389B">
        <w:trPr>
          <w:jc w:val="center"/>
        </w:trPr>
        <w:tc>
          <w:tcPr>
            <w:tcW w:w="1426" w:type="dxa"/>
          </w:tcPr>
          <w:p w14:paraId="1081E5E1" w14:textId="77777777" w:rsidR="00E243A1" w:rsidRPr="004C031C" w:rsidRDefault="00E243A1" w:rsidP="006D389B">
            <w:pPr>
              <w:spacing w:before="120"/>
            </w:pPr>
            <w:r w:rsidRPr="004C031C">
              <w:t>Reduction</w:t>
            </w:r>
            <w:r>
              <w:t xml:space="preserve"> </w:t>
            </w:r>
            <w:r w:rsidRPr="004C031C">
              <w:t>of</w:t>
            </w:r>
            <w:r>
              <w:t xml:space="preserve"> </w:t>
            </w:r>
            <w:r w:rsidRPr="004C031C">
              <w:t>Deduction</w:t>
            </w:r>
          </w:p>
        </w:tc>
        <w:tc>
          <w:tcPr>
            <w:tcW w:w="540" w:type="dxa"/>
          </w:tcPr>
          <w:p w14:paraId="625C9911" w14:textId="77777777" w:rsidR="00E243A1" w:rsidRPr="004C031C" w:rsidRDefault="00E243A1" w:rsidP="006D389B">
            <w:pPr>
              <w:spacing w:before="120"/>
              <w:jc w:val="center"/>
            </w:pPr>
            <w:r w:rsidRPr="004C031C">
              <w:t>=</w:t>
            </w:r>
          </w:p>
        </w:tc>
        <w:tc>
          <w:tcPr>
            <w:tcW w:w="1438" w:type="dxa"/>
          </w:tcPr>
          <w:p w14:paraId="15690116" w14:textId="77777777" w:rsidR="00E243A1" w:rsidRPr="004C031C" w:rsidRDefault="00E243A1" w:rsidP="006D389B">
            <w:pPr>
              <w:spacing w:before="120"/>
              <w:jc w:val="center"/>
            </w:pPr>
            <w:r w:rsidRPr="004C031C">
              <w:t>Maximum deduction</w:t>
            </w:r>
          </w:p>
        </w:tc>
        <w:tc>
          <w:tcPr>
            <w:tcW w:w="330" w:type="dxa"/>
          </w:tcPr>
          <w:p w14:paraId="785B6FA5" w14:textId="77777777" w:rsidR="00E243A1" w:rsidRPr="004C031C" w:rsidRDefault="00E243A1" w:rsidP="006D389B">
            <w:pPr>
              <w:spacing w:before="120"/>
            </w:pPr>
            <w:r>
              <w:t>x</w:t>
            </w:r>
          </w:p>
        </w:tc>
        <w:tc>
          <w:tcPr>
            <w:tcW w:w="3353" w:type="dxa"/>
          </w:tcPr>
          <w:p w14:paraId="66D71828" w14:textId="77777777" w:rsidR="00E243A1" w:rsidRPr="004C031C" w:rsidRDefault="00E243A1" w:rsidP="006D389B">
            <w:pPr>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r>
              <w:br/>
            </w:r>
            <w:r w:rsidRPr="004C031C">
              <w:t>$10,000</w:t>
            </w:r>
          </w:p>
        </w:tc>
      </w:tr>
    </w:tbl>
    <w:p w14:paraId="3371BD98" w14:textId="77777777" w:rsidR="00E243A1" w:rsidRDefault="00E243A1" w:rsidP="00E243A1">
      <w:pPr>
        <w:ind w:left="720"/>
      </w:pPr>
      <w:r>
        <w:t>Shirley’s maximum IRA contribution in 201</w:t>
      </w:r>
      <w:r w:rsidR="00E944B5">
        <w:t>5</w:t>
      </w:r>
      <w:r>
        <w:t xml:space="preserve"> is $5,</w:t>
      </w:r>
      <w:r w:rsidR="00071AC9">
        <w:t>5</w:t>
      </w:r>
      <w:r>
        <w:t>00. Since her AGI is $6</w:t>
      </w:r>
      <w:r w:rsidR="00E944B5">
        <w:t>8</w:t>
      </w:r>
      <w:r>
        <w:t>,000 and the 201</w:t>
      </w:r>
      <w:r w:rsidR="00E944B5">
        <w:t>5</w:t>
      </w:r>
      <w:r>
        <w:t xml:space="preserv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xml:space="preserve"> is $</w:t>
      </w:r>
      <w:r w:rsidR="00A87D68">
        <w:t>6</w:t>
      </w:r>
      <w:r w:rsidR="00E944B5">
        <w:t>1</w:t>
      </w:r>
      <w:r>
        <w:t>,000, we can see the reduction in her deduction is $3,</w:t>
      </w:r>
      <w:r w:rsidR="00071AC9">
        <w:t>850</w:t>
      </w:r>
      <w:r>
        <w:t xml:space="preserve"> by substituting the appropriate numbers in the formula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540"/>
        <w:gridCol w:w="1438"/>
        <w:gridCol w:w="330"/>
        <w:gridCol w:w="3353"/>
      </w:tblGrid>
      <w:tr w:rsidR="006D389B" w:rsidRPr="006D389B" w14:paraId="2EBB4EA3" w14:textId="77777777" w:rsidTr="006D389B">
        <w:trPr>
          <w:jc w:val="center"/>
        </w:trPr>
        <w:tc>
          <w:tcPr>
            <w:tcW w:w="1426" w:type="dxa"/>
          </w:tcPr>
          <w:p w14:paraId="2D8346EA" w14:textId="77777777" w:rsidR="00E243A1" w:rsidRPr="004C031C" w:rsidRDefault="00E243A1" w:rsidP="00A87D68">
            <w:pPr>
              <w:spacing w:before="120"/>
              <w:jc w:val="center"/>
            </w:pPr>
            <w:r>
              <w:t>$3,</w:t>
            </w:r>
            <w:r w:rsidR="00071AC9">
              <w:t>850</w:t>
            </w:r>
          </w:p>
        </w:tc>
        <w:tc>
          <w:tcPr>
            <w:tcW w:w="540" w:type="dxa"/>
          </w:tcPr>
          <w:p w14:paraId="2044388E" w14:textId="77777777" w:rsidR="00E243A1" w:rsidRPr="004C031C" w:rsidRDefault="00E243A1" w:rsidP="006D389B">
            <w:pPr>
              <w:spacing w:before="120"/>
              <w:jc w:val="center"/>
            </w:pPr>
            <w:r w:rsidRPr="004C031C">
              <w:t>=</w:t>
            </w:r>
          </w:p>
        </w:tc>
        <w:tc>
          <w:tcPr>
            <w:tcW w:w="1438" w:type="dxa"/>
          </w:tcPr>
          <w:p w14:paraId="743A663E" w14:textId="77777777" w:rsidR="00E243A1" w:rsidRPr="004C031C" w:rsidRDefault="00E243A1" w:rsidP="00071AC9">
            <w:pPr>
              <w:spacing w:before="120"/>
              <w:jc w:val="center"/>
            </w:pPr>
            <w:r>
              <w:t>$5,</w:t>
            </w:r>
            <w:r w:rsidR="00071AC9">
              <w:t>5</w:t>
            </w:r>
            <w:r>
              <w:t>00</w:t>
            </w:r>
          </w:p>
        </w:tc>
        <w:tc>
          <w:tcPr>
            <w:tcW w:w="330" w:type="dxa"/>
          </w:tcPr>
          <w:p w14:paraId="7F713D60" w14:textId="77777777" w:rsidR="00E243A1" w:rsidRPr="004C031C" w:rsidRDefault="00E243A1" w:rsidP="006D389B">
            <w:pPr>
              <w:spacing w:before="120"/>
            </w:pPr>
            <w:r>
              <w:t>x</w:t>
            </w:r>
          </w:p>
        </w:tc>
        <w:tc>
          <w:tcPr>
            <w:tcW w:w="3353" w:type="dxa"/>
          </w:tcPr>
          <w:p w14:paraId="364C7899" w14:textId="77777777" w:rsidR="00E243A1" w:rsidRPr="004C031C" w:rsidRDefault="00E243A1" w:rsidP="00E944B5">
            <w:pPr>
              <w:jc w:val="center"/>
            </w:pPr>
            <w:r w:rsidRPr="006D389B">
              <w:rPr>
                <w:u w:val="single"/>
              </w:rPr>
              <w:t>$6</w:t>
            </w:r>
            <w:r w:rsidR="00E944B5">
              <w:rPr>
                <w:u w:val="single"/>
              </w:rPr>
              <w:t>8</w:t>
            </w:r>
            <w:r w:rsidRPr="006D389B">
              <w:rPr>
                <w:u w:val="single"/>
              </w:rPr>
              <w:t>,000 – $</w:t>
            </w:r>
            <w:r w:rsidR="00A87D68">
              <w:rPr>
                <w:u w:val="single"/>
              </w:rPr>
              <w:t>6</w:t>
            </w:r>
            <w:r w:rsidR="00E944B5">
              <w:rPr>
                <w:u w:val="single"/>
              </w:rPr>
              <w:t>1</w:t>
            </w:r>
            <w:r w:rsidRPr="006D389B">
              <w:rPr>
                <w:u w:val="single"/>
              </w:rPr>
              <w:t>,000</w:t>
            </w:r>
            <w:r>
              <w:br/>
            </w:r>
            <w:r w:rsidRPr="004C031C">
              <w:t>$10,000</w:t>
            </w:r>
          </w:p>
        </w:tc>
      </w:tr>
    </w:tbl>
    <w:p w14:paraId="62C4A0E0" w14:textId="77777777" w:rsidR="00E243A1" w:rsidRDefault="00E243A1" w:rsidP="00E243A1">
      <w:pPr>
        <w:ind w:left="720"/>
      </w:pPr>
      <w:r>
        <w:t>Since her deduction is reduced by $3,</w:t>
      </w:r>
      <w:r w:rsidR="00071AC9">
        <w:t>850</w:t>
      </w:r>
      <w:r>
        <w:t>, the amount she may deduct is $1,</w:t>
      </w:r>
      <w:r w:rsidR="00071AC9">
        <w:t>6</w:t>
      </w:r>
      <w:r>
        <w:t>50. ($5,</w:t>
      </w:r>
      <w:r w:rsidR="00071AC9">
        <w:t>5</w:t>
      </w:r>
      <w:r>
        <w:t>00 - $3,</w:t>
      </w:r>
      <w:r w:rsidR="00071AC9">
        <w:t>8</w:t>
      </w:r>
      <w:r>
        <w:t>50 = $1,</w:t>
      </w:r>
      <w:r w:rsidR="00071AC9">
        <w:t>6</w:t>
      </w:r>
      <w:r>
        <w:t>50)</w:t>
      </w:r>
    </w:p>
    <w:p w14:paraId="2C5C8D2A" w14:textId="77777777" w:rsidR="00E243A1" w:rsidRDefault="00E243A1" w:rsidP="007A5E54">
      <w:pPr>
        <w:numPr>
          <w:ilvl w:val="0"/>
          <w:numId w:val="59"/>
        </w:numPr>
        <w:spacing w:before="120"/>
      </w:pPr>
      <w:r>
        <w:t>Your answer is incorrect. The answer you chose, i.e. $3,</w:t>
      </w:r>
      <w:r w:rsidR="00071AC9">
        <w:t>8</w:t>
      </w:r>
      <w:r>
        <w:t xml:space="preserve">50, is the amount of the </w:t>
      </w:r>
      <w:r w:rsidRPr="00271855">
        <w:rPr>
          <w:i/>
        </w:rPr>
        <w:t>reduction</w:t>
      </w:r>
      <w:r>
        <w:t xml:space="preserve"> in Shirley’s deduction, rather than the deduction itself. Please try again.</w:t>
      </w:r>
    </w:p>
    <w:p w14:paraId="75A04B49" w14:textId="77777777" w:rsidR="00E243A1" w:rsidRDefault="00E243A1" w:rsidP="007A5E54">
      <w:pPr>
        <w:numPr>
          <w:ilvl w:val="0"/>
          <w:numId w:val="59"/>
        </w:numPr>
        <w:spacing w:before="120"/>
      </w:pPr>
      <w:r>
        <w:t>Your answer is incorrect. Although Shirley</w:t>
      </w:r>
      <w:r w:rsidR="00652919">
        <w:t>’s</w:t>
      </w:r>
      <w:r>
        <w:t xml:space="preserve"> deduction is reduced because she is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her employer’s qualified retirement plan and has an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of more than $</w:t>
      </w:r>
      <w:r w:rsidR="009A2958">
        <w:t>6</w:t>
      </w:r>
      <w:r w:rsidR="00E944B5">
        <w:t>1</w:t>
      </w:r>
      <w:r>
        <w:t>,000, her deduction would not be eliminated entirely unless her AGI was $</w:t>
      </w:r>
      <w:r w:rsidR="009A2958">
        <w:t>7</w:t>
      </w:r>
      <w:r w:rsidR="00E944B5">
        <w:t>1</w:t>
      </w:r>
      <w:r>
        <w:t xml:space="preserve">,000 or more. Please try again. </w:t>
      </w:r>
    </w:p>
    <w:p w14:paraId="21753738" w14:textId="77777777" w:rsidR="00E243A1" w:rsidRDefault="00906E7D" w:rsidP="00906E7D">
      <w:pPr>
        <w:pStyle w:val="Heading3"/>
      </w:pPr>
      <w:bookmarkStart w:id="199" w:name="_Toc404357258"/>
      <w:r>
        <w:t>Review Quiz #</w:t>
      </w:r>
      <w:r w:rsidR="000A5B03">
        <w:t>2</w:t>
      </w:r>
      <w:bookmarkEnd w:id="199"/>
    </w:p>
    <w:p w14:paraId="28D41106" w14:textId="77777777" w:rsidR="00906E7D" w:rsidRDefault="00906E7D" w:rsidP="00906E7D">
      <w:r>
        <w:t>Question 1 Feedback</w:t>
      </w:r>
    </w:p>
    <w:p w14:paraId="6A9DD710" w14:textId="77777777" w:rsidR="00906E7D" w:rsidRDefault="00906E7D" w:rsidP="007A5E54">
      <w:pPr>
        <w:numPr>
          <w:ilvl w:val="0"/>
          <w:numId w:val="61"/>
        </w:numPr>
        <w:spacing w:before="120"/>
      </w:pPr>
      <w:r>
        <w:t>Your answer is correct. Required minimum distributions (RMD) are not eligible for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Accordingly, no part of Helen’s RMD may be rolled over. In addition to required minimum distributions</w:t>
      </w:r>
      <w:r w:rsidR="00A95039">
        <w:fldChar w:fldCharType="begin"/>
      </w:r>
      <w:r w:rsidR="00293611">
        <w:instrText xml:space="preserve"> XE "</w:instrText>
      </w:r>
      <w:r w:rsidR="00293611" w:rsidRPr="00CD56BD">
        <w:rPr>
          <w:szCs w:val="22"/>
        </w:rPr>
        <w:instrText>required minimum distributions</w:instrText>
      </w:r>
      <w:r w:rsidR="00293611">
        <w:instrText xml:space="preserve">" </w:instrText>
      </w:r>
      <w:r w:rsidR="00A95039">
        <w:fldChar w:fldCharType="end"/>
      </w:r>
      <w:r>
        <w:t>, certain other distributions are ineligible for rollover, including hardship distributions and distributions that are made for a specified period of 10 years or more or are part of a series of substantially equal payments made over the individual’s life expectancy.</w:t>
      </w:r>
    </w:p>
    <w:p w14:paraId="44507061" w14:textId="77777777" w:rsidR="00906E7D" w:rsidRDefault="00906E7D" w:rsidP="007A5E54">
      <w:pPr>
        <w:numPr>
          <w:ilvl w:val="0"/>
          <w:numId w:val="61"/>
        </w:numPr>
      </w:pPr>
      <w:r>
        <w:t>Your answer is incorrect. Not all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distributions are eligible for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Please try again.</w:t>
      </w:r>
    </w:p>
    <w:p w14:paraId="5CF424D5" w14:textId="77777777" w:rsidR="00906E7D" w:rsidRDefault="00906E7D" w:rsidP="007A5E54">
      <w:pPr>
        <w:numPr>
          <w:ilvl w:val="0"/>
          <w:numId w:val="61"/>
        </w:numPr>
      </w:pPr>
      <w:r>
        <w:t>Your answer is incorrect. Mandatory 20% withholding does not apply to distributions received from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So, assuming Helen were permitted to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xml:space="preserve"> her traditional IRA distribution, the entire amount could be rolled over. Please try again.</w:t>
      </w:r>
    </w:p>
    <w:p w14:paraId="1D35F94A" w14:textId="77777777" w:rsidR="00906E7D" w:rsidRPr="00AF2193" w:rsidRDefault="00906E7D" w:rsidP="007A5E54">
      <w:pPr>
        <w:numPr>
          <w:ilvl w:val="0"/>
          <w:numId w:val="61"/>
        </w:numPr>
      </w:pPr>
      <w:r>
        <w:t>Your answer is incorrect. Your answer choice suggests that only an amount equal to the funds normally retained by a qualified plan trustee pursuant to mandatory withholding</w:t>
      </w:r>
      <w:r w:rsidR="00A95039">
        <w:fldChar w:fldCharType="begin"/>
      </w:r>
      <w:r w:rsidR="00293611">
        <w:instrText xml:space="preserve"> XE "</w:instrText>
      </w:r>
      <w:r w:rsidR="00293611" w:rsidRPr="00CD56BD">
        <w:rPr>
          <w:szCs w:val="22"/>
        </w:rPr>
        <w:instrText>mandatory withholding</w:instrText>
      </w:r>
      <w:r w:rsidR="00293611">
        <w:instrText xml:space="preserve">" </w:instrText>
      </w:r>
      <w:r w:rsidR="00A95039">
        <w:fldChar w:fldCharType="end"/>
      </w:r>
      <w:r>
        <w:t xml:space="preserve"> would be eligible for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However, mandatory 20% withholding does not apply to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distributions made directly to the account owner. Furthermore, certain distributions are not eligible for rollover. Please try again.</w:t>
      </w:r>
    </w:p>
    <w:p w14:paraId="3AA953AA" w14:textId="77777777" w:rsidR="00906E7D" w:rsidRDefault="00906E7D" w:rsidP="00906E7D">
      <w:r>
        <w:t>Question 2 Feedback</w:t>
      </w:r>
    </w:p>
    <w:p w14:paraId="0CFB7B0D" w14:textId="77777777" w:rsidR="00906E7D" w:rsidRDefault="00906E7D" w:rsidP="007A5E54">
      <w:pPr>
        <w:numPr>
          <w:ilvl w:val="0"/>
          <w:numId w:val="63"/>
        </w:numPr>
        <w:spacing w:before="120"/>
      </w:pPr>
      <w:r>
        <w:t>Your answer is incorrect. The employer’s qualified plan trustee is required to withhold 20% of any distribution made from a qualified plan to a plan participant, even if the amount distributed is rolled over by the participant. The amount withheld by the trustee is deemed to be distributed to the participant and is subject to income taxation. Please try again.</w:t>
      </w:r>
    </w:p>
    <w:p w14:paraId="26AC507B" w14:textId="77777777" w:rsidR="00906E7D" w:rsidRDefault="00906E7D" w:rsidP="007A5E54">
      <w:pPr>
        <w:numPr>
          <w:ilvl w:val="0"/>
          <w:numId w:val="63"/>
        </w:numPr>
        <w:spacing w:before="120"/>
      </w:pPr>
      <w:r>
        <w:lastRenderedPageBreak/>
        <w:t>Your answer is incorrect.  Any distribution</w:t>
      </w:r>
      <w:r w:rsidRPr="000B485C">
        <w:t xml:space="preserve"> to a participant from a qualified plan</w:t>
      </w:r>
      <w:r>
        <w:t>, §457 governmental plan</w:t>
      </w:r>
      <w:r w:rsidRPr="000B485C">
        <w:t xml:space="preserve"> or </w:t>
      </w:r>
      <w:r>
        <w:t>§403(b)</w:t>
      </w:r>
      <w:r w:rsidRPr="000B485C">
        <w:t xml:space="preserve"> tax</w:t>
      </w:r>
      <w:r>
        <w:t>-</w:t>
      </w:r>
      <w:r w:rsidRPr="000B485C">
        <w:t>sheltered annuity</w:t>
      </w:r>
      <w:r>
        <w:t>—even if that distribution will be rolled over to another plan—</w:t>
      </w:r>
      <w:r w:rsidRPr="000B485C">
        <w:t>requires that the trustee of th</w:t>
      </w:r>
      <w:r>
        <w:t>e distributing plan withhold 20 percent</w:t>
      </w:r>
      <w:r w:rsidRPr="000B485C">
        <w:t xml:space="preserve"> of the distribution for taxes.</w:t>
      </w:r>
      <w:r w:rsidRPr="00F96E12">
        <w:t xml:space="preserve"> </w:t>
      </w:r>
      <w:r>
        <w:t>T</w:t>
      </w:r>
      <w:r w:rsidRPr="000B485C">
        <w:t>he amount withheld is</w:t>
      </w:r>
      <w:r>
        <w:t xml:space="preserve"> itself</w:t>
      </w:r>
      <w:r w:rsidRPr="000B485C">
        <w:t xml:space="preserve"> considered a distribution and subject to taxation</w:t>
      </w:r>
      <w:r>
        <w:t xml:space="preserve"> and premature withdrawal penalties</w:t>
      </w:r>
      <w:r w:rsidR="00A95039">
        <w:fldChar w:fldCharType="begin"/>
      </w:r>
      <w:r w:rsidR="00293611">
        <w:instrText xml:space="preserve"> XE "</w:instrText>
      </w:r>
      <w:r w:rsidR="00293611" w:rsidRPr="00CD56BD">
        <w:rPr>
          <w:szCs w:val="22"/>
        </w:rPr>
        <w:instrText>premature withdrawal penalties</w:instrText>
      </w:r>
      <w:r w:rsidR="00293611">
        <w:instrText xml:space="preserve">" </w:instrText>
      </w:r>
      <w:r w:rsidR="00A95039">
        <w:fldChar w:fldCharType="end"/>
      </w:r>
      <w:r w:rsidRPr="000B485C">
        <w:t>.</w:t>
      </w:r>
      <w:r>
        <w:t xml:space="preserve"> Your answer correctly identifies the amount of the regular income tax liability, but does not address any premature distribution tax penalty. Please try again.</w:t>
      </w:r>
    </w:p>
    <w:p w14:paraId="3B983F59" w14:textId="77777777" w:rsidR="00906E7D" w:rsidRDefault="00906E7D" w:rsidP="007A5E54">
      <w:pPr>
        <w:numPr>
          <w:ilvl w:val="0"/>
          <w:numId w:val="63"/>
        </w:numPr>
        <w:spacing w:before="120"/>
      </w:pPr>
      <w:r>
        <w:t>Your answer is correct. The qualified plan trustee is required to withhold 20% of any distribution made to Peter. Since the entire $200,000 balance of his qualified plan account was distributed, the trustee must withhold $40,000 to offset Peter’s tax liability. Because the amount withheld by the trustee is deemed distributed to Peter for tax purposes—even if the other $160,000 is rolled over—that withheld amount is subject to normal income taxation and, because Peter is not at least 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t>, to a premature distribution tax penalty of 10% of the amount includible in income. Thus, the income tax on the $40,000 in Peter’s tax bracket is $10,000. In addition, because the entire $40,000 is includible in Peter’s income, a penalty tax of $4,000 is payable. Accordingly, Peter’s partially rolled over distribution results in a total income tax liability of $14,000.</w:t>
      </w:r>
    </w:p>
    <w:p w14:paraId="5AC309CE" w14:textId="77777777" w:rsidR="00906E7D" w:rsidRDefault="00906E7D" w:rsidP="007A5E54">
      <w:pPr>
        <w:numPr>
          <w:ilvl w:val="0"/>
          <w:numId w:val="63"/>
        </w:numPr>
        <w:spacing w:before="120"/>
      </w:pPr>
      <w:r>
        <w:t>Your answer is incorrect. You have correctly determined that the amount of Peter’s vested account value that is withheld by the plan trustee is subject to a 10% premature distribution tax penalty. However, the amount withheld is also considered a distribution to Peter for tax purposes; that tax liability must also be taken into consideration. Please try again.</w:t>
      </w:r>
    </w:p>
    <w:p w14:paraId="075C00D3" w14:textId="77777777" w:rsidR="00906E7D" w:rsidRDefault="00906E7D" w:rsidP="00906E7D">
      <w:r>
        <w:t>Question 3 Feedback</w:t>
      </w:r>
    </w:p>
    <w:p w14:paraId="6F986216" w14:textId="77777777" w:rsidR="00906E7D" w:rsidRDefault="00906E7D" w:rsidP="007A5E54">
      <w:pPr>
        <w:numPr>
          <w:ilvl w:val="0"/>
          <w:numId w:val="65"/>
        </w:numPr>
        <w:spacing w:before="120"/>
      </w:pPr>
      <w:r>
        <w:t>Your answer is incorrect. For distributions after December 31, 2001, after-tax contributions made to a qualified plan can be rolled over from the qualified plan to a t</w:t>
      </w:r>
      <w:r w:rsidRPr="00CD4472">
        <w: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Please try again.</w:t>
      </w:r>
    </w:p>
    <w:p w14:paraId="43F7D21D" w14:textId="77777777" w:rsidR="00906E7D" w:rsidRDefault="00906E7D" w:rsidP="007A5E54">
      <w:pPr>
        <w:numPr>
          <w:ilvl w:val="0"/>
          <w:numId w:val="65"/>
        </w:numPr>
        <w:spacing w:before="120"/>
      </w:pPr>
      <w:r>
        <w:t>Your answer is correct. The Economic Growth and Tax Relief Reconciliation Act of 2001</w:t>
      </w:r>
      <w:r w:rsidR="00A95039">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fldChar w:fldCharType="end"/>
      </w:r>
      <w:r>
        <w:t xml:space="preserve"> (EGTRRA) permitted a separating qualified plan participant to roll over after-tax contributions made to a qualified plan to a t</w:t>
      </w:r>
      <w:r w:rsidRPr="00CD4472">
        <w: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Since before-tax contributions and gain could already be rolled over, the entire $200,000 is eligible for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xml:space="preserve"> to a traditional IRA.</w:t>
      </w:r>
    </w:p>
    <w:p w14:paraId="15448093" w14:textId="77777777" w:rsidR="00906E7D" w:rsidRDefault="00906E7D" w:rsidP="007A5E54">
      <w:pPr>
        <w:numPr>
          <w:ilvl w:val="0"/>
          <w:numId w:val="65"/>
        </w:numPr>
        <w:spacing w:before="120"/>
      </w:pPr>
      <w:r>
        <w:t>Your answer is incorrect. Qualified plan amounts in addition to before-tax contributions may be rolled over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Please try again.</w:t>
      </w:r>
    </w:p>
    <w:p w14:paraId="0005394F" w14:textId="77777777" w:rsidR="00906E7D" w:rsidRDefault="00906E7D" w:rsidP="007A5E54">
      <w:pPr>
        <w:numPr>
          <w:ilvl w:val="0"/>
          <w:numId w:val="65"/>
        </w:numPr>
        <w:spacing w:before="120"/>
      </w:pPr>
      <w:r>
        <w:t>Your answer is incorrect. Although EGTRRA authorized the rollover</w:t>
      </w:r>
      <w:r w:rsidR="00A95039">
        <w:fldChar w:fldCharType="begin"/>
      </w:r>
      <w:r w:rsidR="00293611">
        <w:instrText xml:space="preserve"> XE "</w:instrText>
      </w:r>
      <w:r w:rsidR="00293611" w:rsidRPr="00CD56BD">
        <w:rPr>
          <w:szCs w:val="22"/>
        </w:rPr>
        <w:instrText>rollover</w:instrText>
      </w:r>
      <w:r w:rsidR="00293611">
        <w:instrText xml:space="preserve">" </w:instrText>
      </w:r>
      <w:r w:rsidR="00A95039">
        <w:fldChar w:fldCharType="end"/>
      </w:r>
      <w:r>
        <w:t xml:space="preserve"> of after-tax qualified plan contributions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other monies contained in Edna’s qualified plan account may also be rolled over. Please try again. </w:t>
      </w:r>
    </w:p>
    <w:p w14:paraId="63743E20" w14:textId="77777777" w:rsidR="004A15DC" w:rsidRDefault="004A15DC" w:rsidP="004A15DC">
      <w:pPr>
        <w:pStyle w:val="Heading3"/>
      </w:pPr>
      <w:bookmarkStart w:id="200" w:name="_Toc404357259"/>
      <w:r>
        <w:t>Review Quiz #3</w:t>
      </w:r>
      <w:bookmarkEnd w:id="200"/>
    </w:p>
    <w:p w14:paraId="7D8034D4" w14:textId="77777777" w:rsidR="004A15DC" w:rsidRDefault="004A15DC" w:rsidP="004A15DC">
      <w:r>
        <w:t>Question 1 Feedback</w:t>
      </w:r>
    </w:p>
    <w:p w14:paraId="3A77A399" w14:textId="77777777" w:rsidR="004A15DC" w:rsidRDefault="004A15DC" w:rsidP="007A5E54">
      <w:pPr>
        <w:numPr>
          <w:ilvl w:val="0"/>
          <w:numId w:val="67"/>
        </w:numPr>
        <w:spacing w:before="120"/>
      </w:pPr>
      <w:r>
        <w:t>Your answer is incorrect. T</w:t>
      </w:r>
      <w:r w:rsidRPr="000B485C">
        <w:t xml:space="preserve">he </w:t>
      </w:r>
      <w:r>
        <w:t xml:space="preserve">premature distribution </w:t>
      </w:r>
      <w:r w:rsidRPr="000B485C">
        <w:t>penalty</w:t>
      </w:r>
      <w:r w:rsidR="00A95039">
        <w:fldChar w:fldCharType="begin"/>
      </w:r>
      <w:r w:rsidR="00293611">
        <w:instrText xml:space="preserve"> XE "</w:instrText>
      </w:r>
      <w:r w:rsidR="00293611" w:rsidRPr="00CD56BD">
        <w:rPr>
          <w:szCs w:val="22"/>
        </w:rPr>
        <w:instrText>premature distribution penalty</w:instrText>
      </w:r>
      <w:r w:rsidR="00293611">
        <w:instrText xml:space="preserve">" </w:instrText>
      </w:r>
      <w:r w:rsidR="00A95039">
        <w:fldChar w:fldCharType="end"/>
      </w:r>
      <w:r w:rsidRPr="000B485C">
        <w:t xml:space="preserve"> is </w:t>
      </w:r>
      <w:r>
        <w:t xml:space="preserve">equal to </w:t>
      </w:r>
      <w:r w:rsidRPr="000B485C">
        <w:t>10 percent of the amount of the distribution that is includible in the individual’s gross income.</w:t>
      </w:r>
      <w:r>
        <w:t xml:space="preserve"> Since part of the distribution is not includible in Ellen’s income, that non-includible part of the distribution is not subject to the tax penalty. Please try again.</w:t>
      </w:r>
    </w:p>
    <w:p w14:paraId="1ACC04B8" w14:textId="77777777" w:rsidR="004A15DC" w:rsidRDefault="004A15DC" w:rsidP="007A5E54">
      <w:pPr>
        <w:numPr>
          <w:ilvl w:val="0"/>
          <w:numId w:val="67"/>
        </w:numPr>
        <w:spacing w:before="120"/>
      </w:pPr>
      <w:r>
        <w:lastRenderedPageBreak/>
        <w:t>Your answer is incorrect. You have identified part of the distribution that is includible in Ellen’s income—the total of her deductible contributions—and applied the appropriate 10% tax penalty to it. However, more than just the amount equal to her deductible contributions are includible in her income and that also needs to be considered. Please try again.</w:t>
      </w:r>
    </w:p>
    <w:p w14:paraId="1FDDBC0C" w14:textId="77777777" w:rsidR="004A15DC" w:rsidRDefault="004A15DC" w:rsidP="007A5E54">
      <w:pPr>
        <w:numPr>
          <w:ilvl w:val="0"/>
          <w:numId w:val="67"/>
        </w:numPr>
        <w:spacing w:before="120"/>
      </w:pPr>
      <w:r>
        <w:t xml:space="preserve">Your answer is correct. Of Ellen’s total distribution of $500,000, only the amount of her non-deductible contributions—$50,000, in this case—would not be includible in her income. The remaining $450,000, comprised of pre-tax contributions and earnings, is includible in her gross income and subject to both regular income taxation and a tax penalty of $45,000. ($450,000 </w:t>
      </w:r>
      <w:r>
        <w:rPr>
          <w:i/>
        </w:rPr>
        <w:t>x</w:t>
      </w:r>
      <w:r>
        <w:t xml:space="preserve"> 10% = $45,000)</w:t>
      </w:r>
    </w:p>
    <w:p w14:paraId="1883CA7D" w14:textId="77777777" w:rsidR="004A15DC" w:rsidRDefault="004A15DC" w:rsidP="007A5E54">
      <w:pPr>
        <w:numPr>
          <w:ilvl w:val="0"/>
          <w:numId w:val="67"/>
        </w:numPr>
        <w:spacing w:before="120"/>
      </w:pPr>
      <w:r>
        <w:t xml:space="preserve">Your answer is incorrect. You have identified the earnings Ellen’s IRA account has accrued which, of course, </w:t>
      </w:r>
      <w:r w:rsidR="00540D3F">
        <w:t>are</w:t>
      </w:r>
      <w:r>
        <w:t xml:space="preserve"> subject to both income taxation and a premature distribution tax penalty. However, another piece of the distribution is also includible in Ellen’s income. Please try again. </w:t>
      </w:r>
    </w:p>
    <w:p w14:paraId="12FBE4BF" w14:textId="77777777" w:rsidR="004A15DC" w:rsidRDefault="004A15DC" w:rsidP="004A15DC">
      <w:r>
        <w:t>Question 2 Feedback</w:t>
      </w:r>
    </w:p>
    <w:p w14:paraId="648323DD" w14:textId="77777777" w:rsidR="004A15DC" w:rsidRDefault="004A15DC" w:rsidP="007A5E54">
      <w:pPr>
        <w:numPr>
          <w:ilvl w:val="0"/>
          <w:numId w:val="69"/>
        </w:numPr>
        <w:spacing w:before="120"/>
      </w:pPr>
      <w:r>
        <w:t>Your answer is incorrect. After-tax contributions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are received pro-rata</w:t>
      </w:r>
      <w:r w:rsidR="00165FCC">
        <w:t xml:space="preserve"> in any distribution</w:t>
      </w:r>
      <w:r>
        <w:t>. Accordingly, some portion of Carol’s $10,000 distribution from her traditional IRA would be received tax-free and the balance would be taxable. Please try again.</w:t>
      </w:r>
    </w:p>
    <w:p w14:paraId="1603C322" w14:textId="77777777" w:rsidR="004A15DC" w:rsidRDefault="004A15DC" w:rsidP="007A5E54">
      <w:pPr>
        <w:numPr>
          <w:ilvl w:val="0"/>
          <w:numId w:val="69"/>
        </w:numPr>
        <w:spacing w:before="120"/>
      </w:pPr>
      <w:r>
        <w:t>Your answer is correct. Distributions of unrecovered after-tax</w:t>
      </w:r>
      <w:r w:rsidRPr="000B485C">
        <w:t xml:space="preserve"> contributions </w:t>
      </w:r>
      <w:r>
        <w:t>made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w:t>
      </w:r>
      <w:r w:rsidRPr="000B485C">
        <w:t>are received tax-free as a return of basis</w:t>
      </w:r>
      <w:r w:rsidR="00A95039">
        <w:fldChar w:fldCharType="begin"/>
      </w:r>
      <w:r w:rsidR="00293611">
        <w:instrText xml:space="preserve"> XE "</w:instrText>
      </w:r>
      <w:r w:rsidR="00293611" w:rsidRPr="00CD56BD">
        <w:rPr>
          <w:szCs w:val="22"/>
        </w:rPr>
        <w:instrText>return of basis</w:instrText>
      </w:r>
      <w:r w:rsidR="00293611">
        <w:instrText xml:space="preserve">" </w:instrText>
      </w:r>
      <w:r w:rsidR="00A95039">
        <w:fldChar w:fldCharType="end"/>
      </w:r>
      <w:r w:rsidRPr="000B485C">
        <w:t xml:space="preserve">, and the remainder </w:t>
      </w:r>
      <w:r>
        <w:t xml:space="preserve">of the distribution </w:t>
      </w:r>
      <w:r w:rsidRPr="000B485C">
        <w:t>is taxable</w:t>
      </w:r>
      <w:r>
        <w:t>. The</w:t>
      </w:r>
      <w:r w:rsidRPr="000B485C">
        <w:t xml:space="preserve"> formula used to determine how much of any distribution should be considered a </w:t>
      </w:r>
      <w:r>
        <w:t xml:space="preserve">tax-free </w:t>
      </w:r>
      <w:r w:rsidRPr="000B485C">
        <w:t xml:space="preserve">return of </w:t>
      </w:r>
      <w:r>
        <w:t>after-tax</w:t>
      </w:r>
      <w:r w:rsidRPr="000B485C">
        <w:t xml:space="preserve"> contributions</w:t>
      </w:r>
      <w:r>
        <w:t xml:space="preserve"> is:</w:t>
      </w:r>
    </w:p>
    <w:tbl>
      <w:tblPr>
        <w:tblW w:w="0" w:type="auto"/>
        <w:jc w:val="center"/>
        <w:tblLayout w:type="fixed"/>
        <w:tblLook w:val="01E0" w:firstRow="1" w:lastRow="1" w:firstColumn="1" w:lastColumn="1" w:noHBand="0" w:noVBand="0"/>
      </w:tblPr>
      <w:tblGrid>
        <w:gridCol w:w="4084"/>
        <w:gridCol w:w="236"/>
        <w:gridCol w:w="1183"/>
        <w:gridCol w:w="236"/>
        <w:gridCol w:w="1661"/>
      </w:tblGrid>
      <w:tr w:rsidR="006D389B" w14:paraId="21317927" w14:textId="77777777" w:rsidTr="00540D3F">
        <w:trPr>
          <w:jc w:val="center"/>
        </w:trPr>
        <w:tc>
          <w:tcPr>
            <w:tcW w:w="4084" w:type="dxa"/>
          </w:tcPr>
          <w:p w14:paraId="2961ADC5" w14:textId="77777777" w:rsidR="004A15DC" w:rsidRPr="006D389B" w:rsidRDefault="004A15DC" w:rsidP="00540D3F">
            <w:pPr>
              <w:spacing w:after="0"/>
              <w:jc w:val="center"/>
              <w:rPr>
                <w:sz w:val="18"/>
                <w:szCs w:val="18"/>
                <w:u w:val="single"/>
              </w:rPr>
            </w:pPr>
            <w:r w:rsidRPr="006D389B">
              <w:rPr>
                <w:sz w:val="18"/>
                <w:szCs w:val="18"/>
                <w:u w:val="single"/>
              </w:rPr>
              <w:t>Unrecovered non-deductible contributions</w:t>
            </w:r>
          </w:p>
          <w:p w14:paraId="23541DCF" w14:textId="77777777" w:rsidR="004A15DC" w:rsidRPr="006D389B" w:rsidRDefault="004A15DC" w:rsidP="00540D3F">
            <w:pPr>
              <w:jc w:val="center"/>
              <w:rPr>
                <w:sz w:val="18"/>
                <w:szCs w:val="18"/>
              </w:rPr>
            </w:pPr>
            <w:r w:rsidRPr="006D389B">
              <w:rPr>
                <w:sz w:val="18"/>
                <w:szCs w:val="18"/>
              </w:rPr>
              <w:t xml:space="preserve">Total IRA balance </w:t>
            </w:r>
            <w:r w:rsidRPr="006D389B">
              <w:rPr>
                <w:rFonts w:cs="Arial"/>
                <w:sz w:val="18"/>
                <w:szCs w:val="18"/>
              </w:rPr>
              <w:t>(at year end</w:t>
            </w:r>
            <w:r w:rsidR="009A2958">
              <w:rPr>
                <w:rFonts w:cs="Arial"/>
                <w:sz w:val="18"/>
                <w:szCs w:val="18"/>
              </w:rPr>
              <w:t xml:space="preserve"> of the year of the distribution</w:t>
            </w:r>
            <w:r w:rsidRPr="006D389B">
              <w:rPr>
                <w:rFonts w:cs="Arial"/>
                <w:sz w:val="18"/>
                <w:szCs w:val="18"/>
              </w:rPr>
              <w:t>)</w:t>
            </w:r>
            <w:r w:rsidR="00165FCC">
              <w:rPr>
                <w:rFonts w:cs="Arial"/>
                <w:sz w:val="18"/>
                <w:szCs w:val="18"/>
              </w:rPr>
              <w:t xml:space="preserve"> </w:t>
            </w:r>
            <w:r w:rsidRPr="006D389B">
              <w:rPr>
                <w:sz w:val="18"/>
                <w:szCs w:val="18"/>
              </w:rPr>
              <w:t>+ Distribution amount</w:t>
            </w:r>
          </w:p>
        </w:tc>
        <w:tc>
          <w:tcPr>
            <w:tcW w:w="236" w:type="dxa"/>
          </w:tcPr>
          <w:p w14:paraId="6D084D5D" w14:textId="77777777" w:rsidR="004A15DC" w:rsidRPr="006D389B" w:rsidRDefault="004A15DC" w:rsidP="006D389B">
            <w:pPr>
              <w:spacing w:before="120"/>
              <w:jc w:val="center"/>
              <w:rPr>
                <w:sz w:val="18"/>
                <w:szCs w:val="18"/>
              </w:rPr>
            </w:pPr>
            <w:r w:rsidRPr="006D389B">
              <w:rPr>
                <w:sz w:val="18"/>
                <w:szCs w:val="18"/>
              </w:rPr>
              <w:t>x</w:t>
            </w:r>
          </w:p>
        </w:tc>
        <w:tc>
          <w:tcPr>
            <w:tcW w:w="1183" w:type="dxa"/>
          </w:tcPr>
          <w:p w14:paraId="728CC758" w14:textId="77777777" w:rsidR="004A15DC" w:rsidRPr="006D389B" w:rsidRDefault="004A15DC" w:rsidP="006D389B">
            <w:pPr>
              <w:spacing w:before="120"/>
              <w:jc w:val="center"/>
              <w:rPr>
                <w:sz w:val="18"/>
                <w:szCs w:val="18"/>
              </w:rPr>
            </w:pPr>
            <w:r w:rsidRPr="006D389B">
              <w:rPr>
                <w:sz w:val="18"/>
                <w:szCs w:val="18"/>
              </w:rPr>
              <w:t>Distribution     amount</w:t>
            </w:r>
          </w:p>
        </w:tc>
        <w:tc>
          <w:tcPr>
            <w:tcW w:w="236" w:type="dxa"/>
          </w:tcPr>
          <w:p w14:paraId="1DC85DCD" w14:textId="77777777" w:rsidR="004A15DC" w:rsidRPr="006D389B" w:rsidRDefault="004A15DC" w:rsidP="006D389B">
            <w:pPr>
              <w:spacing w:before="120"/>
              <w:jc w:val="center"/>
              <w:rPr>
                <w:sz w:val="18"/>
                <w:szCs w:val="18"/>
              </w:rPr>
            </w:pPr>
            <w:r w:rsidRPr="006D389B">
              <w:rPr>
                <w:sz w:val="18"/>
                <w:szCs w:val="18"/>
              </w:rPr>
              <w:t>=</w:t>
            </w:r>
          </w:p>
        </w:tc>
        <w:tc>
          <w:tcPr>
            <w:tcW w:w="1661" w:type="dxa"/>
          </w:tcPr>
          <w:p w14:paraId="2AC34B6E" w14:textId="77777777" w:rsidR="004A15DC" w:rsidRPr="006D389B" w:rsidRDefault="004A15DC" w:rsidP="006D389B">
            <w:pPr>
              <w:jc w:val="center"/>
              <w:rPr>
                <w:sz w:val="18"/>
                <w:szCs w:val="18"/>
              </w:rPr>
            </w:pPr>
            <w:r w:rsidRPr="006D389B">
              <w:rPr>
                <w:sz w:val="18"/>
                <w:szCs w:val="18"/>
              </w:rPr>
              <w:t>Tax-free portion of distribution</w:t>
            </w:r>
          </w:p>
        </w:tc>
      </w:tr>
    </w:tbl>
    <w:p w14:paraId="02019DDF" w14:textId="77777777" w:rsidR="004A15DC" w:rsidRDefault="004A15DC" w:rsidP="004A15DC">
      <w:pPr>
        <w:ind w:left="720"/>
      </w:pPr>
      <w:r>
        <w:t>By substituting the appropriate amounts in the formula, we can see that the tax-free part of Carol’s $10,000 distribution is $1,000, as shown below:</w:t>
      </w:r>
    </w:p>
    <w:tbl>
      <w:tblPr>
        <w:tblW w:w="0" w:type="auto"/>
        <w:jc w:val="center"/>
        <w:tblLayout w:type="fixed"/>
        <w:tblLook w:val="01E0" w:firstRow="1" w:lastRow="1" w:firstColumn="1" w:lastColumn="1" w:noHBand="0" w:noVBand="0"/>
      </w:tblPr>
      <w:tblGrid>
        <w:gridCol w:w="4084"/>
        <w:gridCol w:w="236"/>
        <w:gridCol w:w="1183"/>
        <w:gridCol w:w="236"/>
        <w:gridCol w:w="1661"/>
      </w:tblGrid>
      <w:tr w:rsidR="006D389B" w:rsidRPr="006D389B" w14:paraId="07065C3D" w14:textId="77777777" w:rsidTr="00540D3F">
        <w:trPr>
          <w:jc w:val="center"/>
        </w:trPr>
        <w:tc>
          <w:tcPr>
            <w:tcW w:w="4084" w:type="dxa"/>
          </w:tcPr>
          <w:p w14:paraId="1312192E" w14:textId="77777777" w:rsidR="004A15DC" w:rsidRPr="006D389B" w:rsidRDefault="004A15DC" w:rsidP="00540D3F">
            <w:pPr>
              <w:spacing w:after="0"/>
              <w:jc w:val="center"/>
              <w:rPr>
                <w:sz w:val="18"/>
                <w:szCs w:val="18"/>
                <w:u w:val="single"/>
              </w:rPr>
            </w:pPr>
            <w:r w:rsidRPr="006D389B">
              <w:rPr>
                <w:sz w:val="18"/>
                <w:szCs w:val="18"/>
                <w:u w:val="single"/>
              </w:rPr>
              <w:t>$20,000</w:t>
            </w:r>
          </w:p>
          <w:p w14:paraId="385CB0C9" w14:textId="77777777" w:rsidR="004A15DC" w:rsidRPr="006D389B" w:rsidRDefault="004A15DC" w:rsidP="006D389B">
            <w:pPr>
              <w:jc w:val="center"/>
              <w:rPr>
                <w:sz w:val="18"/>
                <w:szCs w:val="18"/>
              </w:rPr>
            </w:pPr>
            <w:r w:rsidRPr="006D389B">
              <w:rPr>
                <w:sz w:val="18"/>
                <w:szCs w:val="18"/>
              </w:rPr>
              <w:t>$190,000 + $10,000</w:t>
            </w:r>
          </w:p>
        </w:tc>
        <w:tc>
          <w:tcPr>
            <w:tcW w:w="236" w:type="dxa"/>
          </w:tcPr>
          <w:p w14:paraId="56F6ECE7" w14:textId="77777777" w:rsidR="004A15DC" w:rsidRPr="006D389B" w:rsidRDefault="004A15DC" w:rsidP="006D389B">
            <w:pPr>
              <w:spacing w:before="120"/>
              <w:jc w:val="center"/>
              <w:rPr>
                <w:sz w:val="18"/>
                <w:szCs w:val="18"/>
              </w:rPr>
            </w:pPr>
            <w:r w:rsidRPr="006D389B">
              <w:rPr>
                <w:sz w:val="18"/>
                <w:szCs w:val="18"/>
              </w:rPr>
              <w:t>x</w:t>
            </w:r>
          </w:p>
        </w:tc>
        <w:tc>
          <w:tcPr>
            <w:tcW w:w="1183" w:type="dxa"/>
          </w:tcPr>
          <w:p w14:paraId="59EB4A9C" w14:textId="77777777" w:rsidR="004A15DC" w:rsidRPr="006D389B" w:rsidRDefault="004A15DC" w:rsidP="006D389B">
            <w:pPr>
              <w:spacing w:before="120"/>
              <w:jc w:val="center"/>
              <w:rPr>
                <w:sz w:val="18"/>
                <w:szCs w:val="18"/>
              </w:rPr>
            </w:pPr>
            <w:r w:rsidRPr="006D389B">
              <w:rPr>
                <w:sz w:val="18"/>
                <w:szCs w:val="18"/>
              </w:rPr>
              <w:t>$10,000</w:t>
            </w:r>
          </w:p>
        </w:tc>
        <w:tc>
          <w:tcPr>
            <w:tcW w:w="236" w:type="dxa"/>
          </w:tcPr>
          <w:p w14:paraId="329A23B5" w14:textId="77777777" w:rsidR="004A15DC" w:rsidRPr="006D389B" w:rsidRDefault="004A15DC" w:rsidP="006D389B">
            <w:pPr>
              <w:spacing w:before="120"/>
              <w:jc w:val="center"/>
              <w:rPr>
                <w:sz w:val="18"/>
                <w:szCs w:val="18"/>
              </w:rPr>
            </w:pPr>
            <w:r w:rsidRPr="006D389B">
              <w:rPr>
                <w:sz w:val="18"/>
                <w:szCs w:val="18"/>
              </w:rPr>
              <w:t>=</w:t>
            </w:r>
          </w:p>
        </w:tc>
        <w:tc>
          <w:tcPr>
            <w:tcW w:w="1661" w:type="dxa"/>
          </w:tcPr>
          <w:p w14:paraId="5E5892D8" w14:textId="77777777" w:rsidR="004A15DC" w:rsidRPr="006D389B" w:rsidRDefault="004A15DC" w:rsidP="006D389B">
            <w:pPr>
              <w:spacing w:before="120"/>
              <w:jc w:val="center"/>
              <w:rPr>
                <w:sz w:val="18"/>
                <w:szCs w:val="18"/>
              </w:rPr>
            </w:pPr>
            <w:r w:rsidRPr="006D389B">
              <w:rPr>
                <w:sz w:val="18"/>
                <w:szCs w:val="18"/>
              </w:rPr>
              <w:t>$1,000</w:t>
            </w:r>
          </w:p>
        </w:tc>
      </w:tr>
    </w:tbl>
    <w:p w14:paraId="1A0D35A0" w14:textId="77777777" w:rsidR="004A15DC" w:rsidRDefault="004A15DC" w:rsidP="007A5E54">
      <w:pPr>
        <w:numPr>
          <w:ilvl w:val="0"/>
          <w:numId w:val="69"/>
        </w:numPr>
        <w:spacing w:before="120"/>
      </w:pPr>
      <w:r>
        <w:t>Your answer is incorrect. Distributions of unrecovered after-tax contributions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are received pro-rata. The determination of the portion of such distribution that is tax-free as a return of basis</w:t>
      </w:r>
      <w:r w:rsidR="00A95039">
        <w:fldChar w:fldCharType="begin"/>
      </w:r>
      <w:r w:rsidR="00293611">
        <w:instrText xml:space="preserve"> XE "</w:instrText>
      </w:r>
      <w:r w:rsidR="00293611" w:rsidRPr="00CD56BD">
        <w:rPr>
          <w:szCs w:val="22"/>
        </w:rPr>
        <w:instrText>return of basis</w:instrText>
      </w:r>
      <w:r w:rsidR="00293611">
        <w:instrText xml:space="preserve">" </w:instrText>
      </w:r>
      <w:r w:rsidR="00A95039">
        <w:fldChar w:fldCharType="end"/>
      </w:r>
      <w:r>
        <w:t xml:space="preserve"> requires that the tax adviser compare the unrecovered after-tax contributions to an amount equal to the sum of the account balance at the end of the year in which the distribution is made and the amount of the distribution. Please try again.</w:t>
      </w:r>
    </w:p>
    <w:p w14:paraId="07CF0E13" w14:textId="77777777" w:rsidR="004A15DC" w:rsidRDefault="004A15DC" w:rsidP="007A5E54">
      <w:pPr>
        <w:numPr>
          <w:ilvl w:val="0"/>
          <w:numId w:val="69"/>
        </w:numPr>
        <w:spacing w:before="120"/>
      </w:pPr>
      <w:r>
        <w:t>Your answer is incorrect. Distributions of unrecovered after-tax contributions to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are received pro-rata. As a result of that treatment, a part of each distribution is taxable as income and a part is tax-free as a recovery of basis. Please try again.</w:t>
      </w:r>
    </w:p>
    <w:p w14:paraId="2D5BA54D" w14:textId="77777777" w:rsidR="004A15DC" w:rsidRDefault="004A15DC" w:rsidP="004A15DC">
      <w:r>
        <w:t>Question 3 Feedback</w:t>
      </w:r>
    </w:p>
    <w:p w14:paraId="2FE14FDE" w14:textId="77777777" w:rsidR="004A15DC" w:rsidRDefault="004A15DC" w:rsidP="007A5E54">
      <w:pPr>
        <w:numPr>
          <w:ilvl w:val="0"/>
          <w:numId w:val="71"/>
        </w:numPr>
        <w:spacing w:before="120"/>
      </w:pPr>
      <w:r>
        <w:t>Your answer is correct. No special spousal election is permitted when an IRA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occurs after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If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owner's death occurs on or after the required beginning date but before the entire IRA interest</w:t>
      </w:r>
      <w:r w:rsidR="00A95039">
        <w:fldChar w:fldCharType="begin"/>
      </w:r>
      <w:r w:rsidR="00293611">
        <w:instrText xml:space="preserve"> XE "</w:instrText>
      </w:r>
      <w:r w:rsidR="00293611" w:rsidRPr="00CD56BD">
        <w:rPr>
          <w:szCs w:val="22"/>
        </w:rPr>
        <w:instrText>interest</w:instrText>
      </w:r>
      <w:r w:rsidR="00293611">
        <w:instrText xml:space="preserve">" </w:instrText>
      </w:r>
      <w:r w:rsidR="00A95039">
        <w:fldChar w:fldCharType="end"/>
      </w:r>
      <w:r>
        <w:t xml:space="preserve"> has been distributed, the balance of the IRA—regardless of the beneficiary’s relationship to the deceased owner—</w:t>
      </w:r>
      <w:r>
        <w:lastRenderedPageBreak/>
        <w:t>must be distributed at least as quickly as under the method of distribution in effect at the time of the traditional IRA owner’s death.</w:t>
      </w:r>
    </w:p>
    <w:p w14:paraId="71C1C9C4" w14:textId="77777777" w:rsidR="004A15DC" w:rsidRDefault="004A15DC" w:rsidP="007A5E54">
      <w:pPr>
        <w:numPr>
          <w:ilvl w:val="0"/>
          <w:numId w:val="71"/>
        </w:numPr>
        <w:spacing w:before="120"/>
      </w:pPr>
      <w:r>
        <w:t>Your answer is incorrect. The special spousal election to treat the IRA as his or her own is available only if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occurs before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xml:space="preserve"> and the spouse is the sole beneficiary who possesses an unlimited right to make withdrawals. In this case, since Allen’s death occurred after the required beginning date, this option is not available. Please try again. </w:t>
      </w:r>
    </w:p>
    <w:p w14:paraId="32666767" w14:textId="77777777" w:rsidR="004A15DC" w:rsidRDefault="004A15DC" w:rsidP="007A5E54">
      <w:pPr>
        <w:numPr>
          <w:ilvl w:val="0"/>
          <w:numId w:val="71"/>
        </w:numPr>
        <w:spacing w:before="120"/>
      </w:pPr>
      <w:r>
        <w:t>Your answer is incorrect. The option to take the IRA balance in a lump-sum at the conclusion of a five-year period is available only if the owner died before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xml:space="preserve">. It would not be available in this case. Please try again. </w:t>
      </w:r>
    </w:p>
    <w:p w14:paraId="1D99B65B" w14:textId="77777777" w:rsidR="004A15DC" w:rsidRDefault="004A15DC" w:rsidP="007A5E54">
      <w:pPr>
        <w:numPr>
          <w:ilvl w:val="0"/>
          <w:numId w:val="71"/>
        </w:numPr>
        <w:spacing w:before="120"/>
      </w:pPr>
      <w:r>
        <w:t>Your answer is incorrect. The beneficiary’s ability to take the IRA balance over her life expectancy is available only when the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owner’s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occurs before the required beginning date</w:t>
      </w:r>
      <w:r w:rsidR="00A95039">
        <w:fldChar w:fldCharType="begin"/>
      </w:r>
      <w:r w:rsidR="00293611">
        <w:instrText xml:space="preserve"> XE "</w:instrText>
      </w:r>
      <w:r w:rsidR="00293611" w:rsidRPr="00CD56BD">
        <w:rPr>
          <w:szCs w:val="22"/>
        </w:rPr>
        <w:instrText>required beginning date</w:instrText>
      </w:r>
      <w:r w:rsidR="00293611">
        <w:instrText xml:space="preserve">" </w:instrText>
      </w:r>
      <w:r w:rsidR="00A95039">
        <w:fldChar w:fldCharType="end"/>
      </w:r>
      <w:r>
        <w:t xml:space="preserve">. Please try again. </w:t>
      </w:r>
    </w:p>
    <w:p w14:paraId="2CF59607" w14:textId="77777777" w:rsidR="004A15DC" w:rsidRDefault="0079772F" w:rsidP="0079772F">
      <w:pPr>
        <w:pStyle w:val="Heading3"/>
      </w:pPr>
      <w:bookmarkStart w:id="201" w:name="_Toc404357260"/>
      <w:r>
        <w:t>Review Quiz #4</w:t>
      </w:r>
      <w:bookmarkEnd w:id="201"/>
    </w:p>
    <w:p w14:paraId="648963A1" w14:textId="77777777" w:rsidR="0079772F" w:rsidRDefault="0079772F" w:rsidP="0079772F">
      <w:r>
        <w:t>Question 1 Feedback</w:t>
      </w:r>
    </w:p>
    <w:p w14:paraId="05C01692" w14:textId="77777777" w:rsidR="0079772F" w:rsidRDefault="0079772F" w:rsidP="007A5E54">
      <w:pPr>
        <w:numPr>
          <w:ilvl w:val="0"/>
          <w:numId w:val="73"/>
        </w:numPr>
        <w:spacing w:before="120" w:after="0"/>
      </w:pPr>
      <w:r>
        <w:t>Your answer is incorrect. Based on Allen’s filing status and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his eligibility to make a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contribution in 201</w:t>
      </w:r>
      <w:r w:rsidR="00E944B5">
        <w:t>5</w:t>
      </w:r>
      <w:r>
        <w:t xml:space="preserve"> does not cease unless his AGI is $1</w:t>
      </w:r>
      <w:r w:rsidR="009A2958">
        <w:t>9</w:t>
      </w:r>
      <w:r w:rsidR="00E944B5">
        <w:t>3</w:t>
      </w:r>
      <w:r>
        <w:t>,000 or greater. Please try again.</w:t>
      </w:r>
    </w:p>
    <w:p w14:paraId="352E94EA" w14:textId="77777777" w:rsidR="0079772F" w:rsidRDefault="0079772F" w:rsidP="007A5E54">
      <w:pPr>
        <w:numPr>
          <w:ilvl w:val="0"/>
          <w:numId w:val="73"/>
        </w:numPr>
        <w:spacing w:before="120" w:after="0"/>
      </w:pPr>
      <w:r>
        <w:t>Your answer is correct. The maximum contribution that may be made to a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is reduced for a married taxpayer filing a joint federal income tax form, based on the individual’s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according to the following formula:</w:t>
      </w:r>
    </w:p>
    <w:tbl>
      <w:tblPr>
        <w:tblW w:w="0" w:type="auto"/>
        <w:jc w:val="center"/>
        <w:tblLayout w:type="fixed"/>
        <w:tblLook w:val="01E0" w:firstRow="1" w:lastRow="1" w:firstColumn="1" w:lastColumn="1" w:noHBand="0" w:noVBand="0"/>
      </w:tblPr>
      <w:tblGrid>
        <w:gridCol w:w="1620"/>
        <w:gridCol w:w="394"/>
        <w:gridCol w:w="3240"/>
        <w:gridCol w:w="360"/>
        <w:gridCol w:w="1732"/>
      </w:tblGrid>
      <w:tr w:rsidR="006D389B" w14:paraId="5DEE8BD9" w14:textId="77777777" w:rsidTr="00540D3F">
        <w:trPr>
          <w:jc w:val="center"/>
        </w:trPr>
        <w:tc>
          <w:tcPr>
            <w:tcW w:w="1620" w:type="dxa"/>
          </w:tcPr>
          <w:p w14:paraId="57139F7C" w14:textId="77777777" w:rsidR="0079772F" w:rsidRPr="000927F0" w:rsidRDefault="0079772F" w:rsidP="006D389B">
            <w:pPr>
              <w:spacing w:before="80"/>
              <w:jc w:val="center"/>
            </w:pPr>
            <w:r w:rsidRPr="000927F0">
              <w:t>Contribution reduction</w:t>
            </w:r>
          </w:p>
        </w:tc>
        <w:tc>
          <w:tcPr>
            <w:tcW w:w="394" w:type="dxa"/>
          </w:tcPr>
          <w:p w14:paraId="26DA4704" w14:textId="77777777" w:rsidR="0079772F" w:rsidRPr="000927F0" w:rsidRDefault="0079772F" w:rsidP="006D389B">
            <w:pPr>
              <w:spacing w:before="160"/>
              <w:jc w:val="center"/>
            </w:pPr>
            <w:r w:rsidRPr="000927F0">
              <w:t>=</w:t>
            </w:r>
          </w:p>
        </w:tc>
        <w:tc>
          <w:tcPr>
            <w:tcW w:w="3240" w:type="dxa"/>
          </w:tcPr>
          <w:p w14:paraId="1EE33EAB" w14:textId="77777777" w:rsidR="0079772F" w:rsidRPr="006D389B" w:rsidRDefault="0079772F" w:rsidP="00165FCC">
            <w:pPr>
              <w:spacing w:before="120" w:after="0"/>
              <w:jc w:val="center"/>
              <w:rPr>
                <w:u w:val="single"/>
              </w:rP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p>
          <w:p w14:paraId="0EE7F446" w14:textId="77777777" w:rsidR="0079772F" w:rsidRPr="000927F0" w:rsidRDefault="0079772F" w:rsidP="006D389B">
            <w:pPr>
              <w:jc w:val="center"/>
            </w:pPr>
            <w:r w:rsidRPr="000927F0">
              <w:t xml:space="preserve">$10,000 </w:t>
            </w:r>
          </w:p>
        </w:tc>
        <w:tc>
          <w:tcPr>
            <w:tcW w:w="360" w:type="dxa"/>
          </w:tcPr>
          <w:p w14:paraId="7392E636" w14:textId="77777777" w:rsidR="0079772F" w:rsidRPr="000927F0" w:rsidRDefault="0079772F" w:rsidP="006D389B">
            <w:pPr>
              <w:spacing w:before="160"/>
              <w:jc w:val="center"/>
            </w:pPr>
            <w:r w:rsidRPr="000927F0">
              <w:t>X</w:t>
            </w:r>
          </w:p>
        </w:tc>
        <w:tc>
          <w:tcPr>
            <w:tcW w:w="1732" w:type="dxa"/>
          </w:tcPr>
          <w:p w14:paraId="65969C14" w14:textId="77777777" w:rsidR="0079772F" w:rsidRPr="000927F0" w:rsidRDefault="0079772F" w:rsidP="00165FCC">
            <w:pPr>
              <w:spacing w:before="120"/>
              <w:jc w:val="center"/>
            </w:pPr>
            <w:r w:rsidRPr="000927F0">
              <w:t>Maximum contribution</w:t>
            </w:r>
          </w:p>
        </w:tc>
      </w:tr>
    </w:tbl>
    <w:p w14:paraId="2377E2D8" w14:textId="77777777" w:rsidR="0079772F" w:rsidRDefault="0079772F" w:rsidP="0079772F">
      <w:pPr>
        <w:ind w:left="720"/>
      </w:pPr>
      <w:r>
        <w:t>By substituting the appropriate values in the formula, we can see that Allen’s maximum contribution—normally limited to $5,</w:t>
      </w:r>
      <w:r w:rsidR="00071AC9">
        <w:t>5</w:t>
      </w:r>
      <w:r>
        <w:t>00 in 201</w:t>
      </w:r>
      <w:r w:rsidR="00E944B5">
        <w:t>5</w:t>
      </w:r>
      <w:r>
        <w:t>—is reduced by $3,</w:t>
      </w:r>
      <w:r w:rsidR="00071AC9">
        <w:t>3</w:t>
      </w:r>
      <w:r>
        <w:t>00. Thus, he may make a maximum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contribution of $2,</w:t>
      </w:r>
      <w:r w:rsidR="00071AC9">
        <w:t>2</w:t>
      </w:r>
      <w:r>
        <w:t>00. ($5,</w:t>
      </w:r>
      <w:r w:rsidR="00071AC9">
        <w:t>5</w:t>
      </w:r>
      <w:r>
        <w:t>00 - $3,</w:t>
      </w:r>
      <w:r w:rsidR="00071AC9">
        <w:t>3</w:t>
      </w:r>
      <w:r>
        <w:t>00 = $2,</w:t>
      </w:r>
      <w:r w:rsidR="00071AC9">
        <w:t>2</w:t>
      </w:r>
      <w:r>
        <w:t>00) The formula for the reduction is as follows:</w:t>
      </w:r>
    </w:p>
    <w:tbl>
      <w:tblPr>
        <w:tblW w:w="0" w:type="auto"/>
        <w:jc w:val="center"/>
        <w:tblLayout w:type="fixed"/>
        <w:tblLook w:val="01E0" w:firstRow="1" w:lastRow="1" w:firstColumn="1" w:lastColumn="1" w:noHBand="0" w:noVBand="0"/>
      </w:tblPr>
      <w:tblGrid>
        <w:gridCol w:w="1620"/>
        <w:gridCol w:w="394"/>
        <w:gridCol w:w="3240"/>
        <w:gridCol w:w="360"/>
        <w:gridCol w:w="1732"/>
      </w:tblGrid>
      <w:tr w:rsidR="006D389B" w:rsidRPr="000927F0" w14:paraId="5D670C35" w14:textId="77777777" w:rsidTr="00540D3F">
        <w:trPr>
          <w:jc w:val="center"/>
        </w:trPr>
        <w:tc>
          <w:tcPr>
            <w:tcW w:w="1620" w:type="dxa"/>
          </w:tcPr>
          <w:p w14:paraId="4946383C" w14:textId="77777777" w:rsidR="0079772F" w:rsidRPr="000927F0" w:rsidRDefault="0079772F" w:rsidP="00071AC9">
            <w:pPr>
              <w:spacing w:before="120"/>
              <w:jc w:val="center"/>
            </w:pPr>
            <w:r>
              <w:t>$3,</w:t>
            </w:r>
            <w:r w:rsidR="00071AC9">
              <w:t>3</w:t>
            </w:r>
            <w:r>
              <w:t>00</w:t>
            </w:r>
          </w:p>
        </w:tc>
        <w:tc>
          <w:tcPr>
            <w:tcW w:w="394" w:type="dxa"/>
          </w:tcPr>
          <w:p w14:paraId="25E81F61" w14:textId="77777777" w:rsidR="0079772F" w:rsidRPr="000927F0" w:rsidRDefault="0079772F" w:rsidP="006D389B">
            <w:pPr>
              <w:spacing w:before="160"/>
              <w:jc w:val="center"/>
            </w:pPr>
            <w:r w:rsidRPr="000927F0">
              <w:t>=</w:t>
            </w:r>
          </w:p>
        </w:tc>
        <w:tc>
          <w:tcPr>
            <w:tcW w:w="3240" w:type="dxa"/>
          </w:tcPr>
          <w:p w14:paraId="55088DF3" w14:textId="77777777" w:rsidR="0079772F" w:rsidRPr="006D389B" w:rsidRDefault="0079772F" w:rsidP="00540D3F">
            <w:pPr>
              <w:spacing w:after="0"/>
              <w:jc w:val="center"/>
              <w:rPr>
                <w:u w:val="single"/>
              </w:rPr>
            </w:pPr>
            <w:r w:rsidRPr="006D389B">
              <w:rPr>
                <w:u w:val="single"/>
              </w:rPr>
              <w:t>$1</w:t>
            </w:r>
            <w:r w:rsidR="00071AC9">
              <w:rPr>
                <w:u w:val="single"/>
              </w:rPr>
              <w:t>8</w:t>
            </w:r>
            <w:r w:rsidR="00E944B5">
              <w:rPr>
                <w:u w:val="single"/>
              </w:rPr>
              <w:t>9</w:t>
            </w:r>
            <w:r w:rsidRPr="006D389B">
              <w:rPr>
                <w:u w:val="single"/>
              </w:rPr>
              <w:t>,000 – $1</w:t>
            </w:r>
            <w:r w:rsidR="009A2958">
              <w:rPr>
                <w:u w:val="single"/>
              </w:rPr>
              <w:t>8</w:t>
            </w:r>
            <w:r w:rsidR="00E944B5">
              <w:rPr>
                <w:u w:val="single"/>
              </w:rPr>
              <w:t>3</w:t>
            </w:r>
            <w:r w:rsidRPr="006D389B">
              <w:rPr>
                <w:u w:val="single"/>
              </w:rPr>
              <w:t>,000</w:t>
            </w:r>
          </w:p>
          <w:p w14:paraId="443A8895" w14:textId="77777777" w:rsidR="0079772F" w:rsidRPr="000927F0" w:rsidRDefault="0079772F" w:rsidP="006D389B">
            <w:pPr>
              <w:jc w:val="center"/>
            </w:pPr>
            <w:r w:rsidRPr="000927F0">
              <w:t xml:space="preserve">$10,000 </w:t>
            </w:r>
          </w:p>
        </w:tc>
        <w:tc>
          <w:tcPr>
            <w:tcW w:w="360" w:type="dxa"/>
          </w:tcPr>
          <w:p w14:paraId="149685C9" w14:textId="77777777" w:rsidR="0079772F" w:rsidRPr="000927F0" w:rsidRDefault="0079772F" w:rsidP="006D389B">
            <w:pPr>
              <w:spacing w:before="160"/>
              <w:jc w:val="center"/>
            </w:pPr>
            <w:r w:rsidRPr="000927F0">
              <w:t>X</w:t>
            </w:r>
          </w:p>
        </w:tc>
        <w:tc>
          <w:tcPr>
            <w:tcW w:w="1732" w:type="dxa"/>
          </w:tcPr>
          <w:p w14:paraId="6D9738B3" w14:textId="77777777" w:rsidR="0079772F" w:rsidRPr="000927F0" w:rsidRDefault="0079772F" w:rsidP="00071AC9">
            <w:pPr>
              <w:spacing w:before="120"/>
              <w:jc w:val="center"/>
            </w:pPr>
            <w:r>
              <w:t>$5,</w:t>
            </w:r>
            <w:r w:rsidR="00071AC9">
              <w:t>5</w:t>
            </w:r>
            <w:r>
              <w:t>00</w:t>
            </w:r>
          </w:p>
        </w:tc>
      </w:tr>
    </w:tbl>
    <w:p w14:paraId="554C3DB8" w14:textId="77777777" w:rsidR="0079772F" w:rsidRDefault="0079772F" w:rsidP="007A5E54">
      <w:pPr>
        <w:numPr>
          <w:ilvl w:val="0"/>
          <w:numId w:val="73"/>
        </w:numPr>
        <w:spacing w:before="120"/>
      </w:pPr>
      <w:r>
        <w:t>Your answer is incorrect. When determining the maximum permissible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contribution, it is important to remember that the formula gives you the amount of the </w:t>
      </w:r>
      <w:r>
        <w:rPr>
          <w:i/>
        </w:rPr>
        <w:t>reduction</w:t>
      </w:r>
      <w:r>
        <w:t xml:space="preserve"> in the maximum contribution. The result you obtain by using the formula is not the allowable contribution. Please try again.</w:t>
      </w:r>
    </w:p>
    <w:p w14:paraId="68E8AE55" w14:textId="77777777" w:rsidR="0079772F" w:rsidRPr="001A3EBE" w:rsidRDefault="0079772F" w:rsidP="007A5E54">
      <w:pPr>
        <w:numPr>
          <w:ilvl w:val="0"/>
          <w:numId w:val="73"/>
        </w:numPr>
        <w:spacing w:before="120"/>
      </w:pPr>
      <w:r>
        <w:t>Your answer is incorrect. Because Allen’s AGI exceeds the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his maximum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contribution is reduced. Please try again. </w:t>
      </w:r>
    </w:p>
    <w:p w14:paraId="4174E1B3" w14:textId="77777777" w:rsidR="0079772F" w:rsidRDefault="0079772F" w:rsidP="0079772F">
      <w:r>
        <w:t>Question 2 Feedback</w:t>
      </w:r>
    </w:p>
    <w:p w14:paraId="3C035C4E" w14:textId="77777777" w:rsidR="0079772F" w:rsidRDefault="0079772F" w:rsidP="007A5E54">
      <w:pPr>
        <w:numPr>
          <w:ilvl w:val="0"/>
          <w:numId w:val="75"/>
        </w:numPr>
        <w:spacing w:before="120"/>
      </w:pPr>
      <w:r>
        <w:t>Your answer is correct. Since non-qualified distributions are subject to FIFO tax treatment</w:t>
      </w:r>
      <w:r w:rsidR="00A95039">
        <w:fldChar w:fldCharType="begin"/>
      </w:r>
      <w:r w:rsidR="00293611">
        <w:instrText xml:space="preserve"> XE "</w:instrText>
      </w:r>
      <w:r w:rsidR="00293611" w:rsidRPr="00CD56BD">
        <w:rPr>
          <w:szCs w:val="22"/>
        </w:rPr>
        <w:instrText>FIFO tax treatment</w:instrText>
      </w:r>
      <w:r w:rsidR="00293611">
        <w:instrText xml:space="preserve">" </w:instrText>
      </w:r>
      <w:r w:rsidR="00A95039">
        <w:fldChar w:fldCharType="end"/>
      </w:r>
      <w:r>
        <w:t>, her entire cost basis is recovered tax-free before any taxable gain is deemed distributed. Because her cost basis is $30,000, all of her $25,000 withdrawal is considered a tax-free recovery of basis.</w:t>
      </w:r>
    </w:p>
    <w:p w14:paraId="67F8F2BA" w14:textId="77777777" w:rsidR="0079772F" w:rsidRDefault="0079772F" w:rsidP="007A5E54">
      <w:pPr>
        <w:numPr>
          <w:ilvl w:val="0"/>
          <w:numId w:val="75"/>
        </w:numPr>
        <w:spacing w:before="120"/>
      </w:pPr>
      <w:r>
        <w:lastRenderedPageBreak/>
        <w:t>Your answer is incorrect. Audrey’s non-qualified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 xml:space="preserve"> will leave her with a continued cost basis of $5,000. That amount, however, is not taxable. Please try again.</w:t>
      </w:r>
    </w:p>
    <w:p w14:paraId="5484B3F8" w14:textId="77777777" w:rsidR="0079772F" w:rsidRDefault="0079772F" w:rsidP="007A5E54">
      <w:pPr>
        <w:numPr>
          <w:ilvl w:val="0"/>
          <w:numId w:val="75"/>
        </w:numPr>
        <w:spacing w:before="120"/>
      </w:pPr>
      <w:r>
        <w:t>Your answer is incorrect. The answer you selected, i.e. $15,000, would be correct if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t xml:space="preserve"> were subject to LIFO tax treatment since the account has a gain of $15,000. However, Roth IRAs are given more favorable FIFO tax treatment</w:t>
      </w:r>
      <w:r w:rsidR="00A95039">
        <w:fldChar w:fldCharType="begin"/>
      </w:r>
      <w:r w:rsidR="00293611">
        <w:instrText xml:space="preserve"> XE "</w:instrText>
      </w:r>
      <w:r w:rsidR="00293611" w:rsidRPr="00CD56BD">
        <w:rPr>
          <w:szCs w:val="22"/>
        </w:rPr>
        <w:instrText>FIFO tax treatment</w:instrText>
      </w:r>
      <w:r w:rsidR="00293611">
        <w:instrText xml:space="preserve">" </w:instrText>
      </w:r>
      <w:r w:rsidR="00A95039">
        <w:fldChar w:fldCharType="end"/>
      </w:r>
      <w:r>
        <w:t>. Please try again.</w:t>
      </w:r>
    </w:p>
    <w:p w14:paraId="01F9083D" w14:textId="77777777" w:rsidR="0079772F" w:rsidRDefault="0079772F" w:rsidP="007A5E54">
      <w:pPr>
        <w:numPr>
          <w:ilvl w:val="0"/>
          <w:numId w:val="75"/>
        </w:numPr>
        <w:spacing w:before="120"/>
      </w:pPr>
      <w:r>
        <w:t>Your answer is incorrect. Since the gain on the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is only $15,000, Audrey’s $25,000 withdrawal could not exceed $15,000 even if it were subject to LIFO tax treatment. However, Roth IRA non-qualified distributions receive more favorable FIFO tax treatment</w:t>
      </w:r>
      <w:r w:rsidR="00A95039">
        <w:fldChar w:fldCharType="begin"/>
      </w:r>
      <w:r w:rsidR="00293611">
        <w:instrText xml:space="preserve"> XE "</w:instrText>
      </w:r>
      <w:r w:rsidR="00293611" w:rsidRPr="00CD56BD">
        <w:rPr>
          <w:szCs w:val="22"/>
        </w:rPr>
        <w:instrText>FIFO tax treatment</w:instrText>
      </w:r>
      <w:r w:rsidR="00293611">
        <w:instrText xml:space="preserve">" </w:instrText>
      </w:r>
      <w:r w:rsidR="00A95039">
        <w:fldChar w:fldCharType="end"/>
      </w:r>
      <w:r>
        <w:t>. Please try again.</w:t>
      </w:r>
    </w:p>
    <w:p w14:paraId="49BDC927" w14:textId="77777777" w:rsidR="0079772F" w:rsidRDefault="0079772F" w:rsidP="0079772F">
      <w:r>
        <w:t>Question 3 Feedback</w:t>
      </w:r>
    </w:p>
    <w:p w14:paraId="10DAB178" w14:textId="77777777" w:rsidR="0079772F" w:rsidRDefault="0079772F" w:rsidP="007A5E54">
      <w:pPr>
        <w:numPr>
          <w:ilvl w:val="0"/>
          <w:numId w:val="77"/>
        </w:numPr>
        <w:spacing w:before="120"/>
      </w:pPr>
      <w:r>
        <w:t>Your answer is incorrect. Although Henry’s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has been in effect for more than the required five-year holding period, the total distribution from the account is not a 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 Accordingly, the gain must be recognized. Please try again.</w:t>
      </w:r>
    </w:p>
    <w:p w14:paraId="30D6F9F9" w14:textId="77777777" w:rsidR="0079772F" w:rsidRDefault="0079772F" w:rsidP="007A5E54">
      <w:pPr>
        <w:numPr>
          <w:ilvl w:val="0"/>
          <w:numId w:val="77"/>
        </w:numPr>
        <w:spacing w:before="120"/>
      </w:pPr>
      <w:r>
        <w:t>Your answer is incorrect. Although you have correctly identified the tax penalty that would be imposed on Henry’s non-qualified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 xml:space="preserve"> from his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you also need to consider the regular income tax liability. Please try again.</w:t>
      </w:r>
    </w:p>
    <w:p w14:paraId="424093D5" w14:textId="77777777" w:rsidR="0079772F" w:rsidRDefault="0079772F" w:rsidP="007A5E54">
      <w:pPr>
        <w:numPr>
          <w:ilvl w:val="0"/>
          <w:numId w:val="77"/>
        </w:numPr>
        <w:spacing w:before="120"/>
      </w:pPr>
      <w:r>
        <w:t>Your answer is incorrect. You have determined part of Henry’s income tax liability for his non-qualified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 However, an additional tax penalty will be imposed. Please try again.</w:t>
      </w:r>
    </w:p>
    <w:p w14:paraId="42742C11" w14:textId="77777777" w:rsidR="0079772F" w:rsidRDefault="0079772F" w:rsidP="007A5E54">
      <w:pPr>
        <w:numPr>
          <w:ilvl w:val="0"/>
          <w:numId w:val="77"/>
        </w:numPr>
        <w:spacing w:before="120"/>
      </w:pPr>
      <w:r>
        <w:t>Your answer is correct. Since Henry’s distribution from the Roth IRA</w:t>
      </w:r>
      <w:r w:rsidR="00A95039">
        <w:fldChar w:fldCharType="begin"/>
      </w:r>
      <w:r w:rsidR="00293611">
        <w:instrText xml:space="preserve"> XE "</w:instrText>
      </w:r>
      <w:r w:rsidR="00293611" w:rsidRPr="00CD56BD">
        <w:rPr>
          <w:szCs w:val="22"/>
        </w:rPr>
        <w:instrText>Roth IRA</w:instrText>
      </w:r>
      <w:r w:rsidR="00293611">
        <w:instrText xml:space="preserve">" </w:instrText>
      </w:r>
      <w:r w:rsidR="00A95039">
        <w:fldChar w:fldCharType="end"/>
      </w:r>
      <w:r>
        <w:t xml:space="preserve"> is a non-qualified distribution</w:t>
      </w:r>
      <w:r w:rsidR="00A95039">
        <w:fldChar w:fldCharType="begin"/>
      </w:r>
      <w:r w:rsidR="00293611">
        <w:instrText xml:space="preserve"> XE "</w:instrText>
      </w:r>
      <w:r w:rsidR="00293611" w:rsidRPr="00CD56BD">
        <w:rPr>
          <w:szCs w:val="22"/>
        </w:rPr>
        <w:instrText>qualified distribution</w:instrText>
      </w:r>
      <w:r w:rsidR="00293611">
        <w:instrText xml:space="preserve">" </w:instrText>
      </w:r>
      <w:r w:rsidR="00A95039">
        <w:fldChar w:fldCharType="end"/>
      </w:r>
      <w:r>
        <w:t xml:space="preserve">, the $35,000 gain on the account must be recognized for tax purposes. In Henry’s 25% income tax bracket, his regular tax liability resulting from the distribution is $8,750. ($35,000 </w:t>
      </w:r>
      <w:r>
        <w:rPr>
          <w:i/>
        </w:rPr>
        <w:t>x</w:t>
      </w:r>
      <w:r>
        <w:t xml:space="preserve"> 25% = $8,750) However, in addition to that regular tax liability, an income tax penalty of $3,500 will be imposed because the distribution occurred before his age 59½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t xml:space="preserve"> and no exception to the premature distribution tax penalty applied. Accordingly, Henry’s total income tax liability resulting from his non-qualified Roth IRA distribution is $12,250. </w:t>
      </w:r>
    </w:p>
    <w:p w14:paraId="7DCB7245" w14:textId="77777777" w:rsidR="0079772F" w:rsidRDefault="007B712D" w:rsidP="007B712D">
      <w:pPr>
        <w:pStyle w:val="Heading3"/>
      </w:pPr>
      <w:bookmarkStart w:id="202" w:name="_Toc404357261"/>
      <w:r>
        <w:t>Review Quiz #5</w:t>
      </w:r>
      <w:bookmarkEnd w:id="202"/>
    </w:p>
    <w:p w14:paraId="00EBC911" w14:textId="77777777" w:rsidR="007B712D" w:rsidRDefault="007B712D" w:rsidP="007B712D">
      <w:r>
        <w:t>Question 1 Feedback</w:t>
      </w:r>
    </w:p>
    <w:p w14:paraId="708D385C" w14:textId="77777777" w:rsidR="007B712D" w:rsidRDefault="007B712D" w:rsidP="007A5E54">
      <w:pPr>
        <w:numPr>
          <w:ilvl w:val="0"/>
          <w:numId w:val="79"/>
        </w:numPr>
        <w:spacing w:before="120"/>
      </w:pPr>
      <w:r>
        <w:t>Your answer is incorrect. Gold coins are one of the various investments to which IRA assets may be allocated through a trust or custodial account</w:t>
      </w:r>
      <w:r w:rsidR="00A95039">
        <w:fldChar w:fldCharType="begin"/>
      </w:r>
      <w:r w:rsidR="00293611">
        <w:instrText xml:space="preserve"> XE "</w:instrText>
      </w:r>
      <w:r w:rsidR="00293611" w:rsidRPr="00CD56BD">
        <w:rPr>
          <w:szCs w:val="22"/>
        </w:rPr>
        <w:instrText>trust or custodial account</w:instrText>
      </w:r>
      <w:r w:rsidR="00293611">
        <w:instrText xml:space="preserve">" </w:instrText>
      </w:r>
      <w:r w:rsidR="00A95039">
        <w:fldChar w:fldCharType="end"/>
      </w:r>
      <w:r>
        <w:t>. Please try again.</w:t>
      </w:r>
    </w:p>
    <w:p w14:paraId="74B8218C" w14:textId="77777777" w:rsidR="007B712D" w:rsidRDefault="007B712D" w:rsidP="007A5E54">
      <w:pPr>
        <w:numPr>
          <w:ilvl w:val="0"/>
          <w:numId w:val="79"/>
        </w:numPr>
        <w:spacing w:before="120"/>
      </w:pPr>
      <w:r>
        <w:t>Your answer is correct. Life insurance—as well as collectibles, such as antiques and artwork—is specifically prohibited as an IRA funding vehicle.</w:t>
      </w:r>
    </w:p>
    <w:p w14:paraId="56EBF477" w14:textId="77777777" w:rsidR="007B712D" w:rsidRDefault="007B712D" w:rsidP="007A5E54">
      <w:pPr>
        <w:numPr>
          <w:ilvl w:val="0"/>
          <w:numId w:val="79"/>
        </w:numPr>
        <w:spacing w:before="120"/>
      </w:pPr>
      <w:r>
        <w:t>Your answer is incorrect. Stocks, whether common or preferred, are permitted IRA funding vehicles. Please try again.</w:t>
      </w:r>
    </w:p>
    <w:p w14:paraId="350E55C5" w14:textId="77777777" w:rsidR="007B712D" w:rsidRDefault="007B712D" w:rsidP="007A5E54">
      <w:pPr>
        <w:numPr>
          <w:ilvl w:val="0"/>
          <w:numId w:val="79"/>
        </w:numPr>
        <w:spacing w:before="120"/>
      </w:pPr>
      <w:r>
        <w:t>Your answer is incorrect. An IRA owner may invest some or all of his or her IRA assets in traditional savings vehicles, such as a passbook savings account or a certificate of deposit. Please try again.</w:t>
      </w:r>
    </w:p>
    <w:p w14:paraId="01FD268F" w14:textId="77777777" w:rsidR="007B712D" w:rsidRDefault="007B712D" w:rsidP="007B712D">
      <w:r>
        <w:t>Question 2 Feedback</w:t>
      </w:r>
    </w:p>
    <w:p w14:paraId="67BCF412" w14:textId="77777777" w:rsidR="007B712D" w:rsidRDefault="007B712D" w:rsidP="007A5E54">
      <w:pPr>
        <w:numPr>
          <w:ilvl w:val="0"/>
          <w:numId w:val="81"/>
        </w:numPr>
        <w:spacing w:before="120"/>
      </w:pPr>
      <w:r>
        <w:t>Your answer is incorrect. Capital gains tax rates are not applicable to transactions involving qualified plans or other, similar tax-advantaged retirement plans. Please try again.</w:t>
      </w:r>
    </w:p>
    <w:p w14:paraId="56EC3241" w14:textId="77777777" w:rsidR="007B712D" w:rsidRDefault="007B712D" w:rsidP="007A5E54">
      <w:pPr>
        <w:numPr>
          <w:ilvl w:val="0"/>
          <w:numId w:val="81"/>
        </w:numPr>
        <w:spacing w:before="120"/>
      </w:pPr>
      <w:r>
        <w:lastRenderedPageBreak/>
        <w:t>Your answer is incorrect. In the event an annuity permitted a contract owner to borrow under the contract, no surrender charges are imposed. Please try again.</w:t>
      </w:r>
    </w:p>
    <w:p w14:paraId="3E50BEAE" w14:textId="77777777" w:rsidR="007B712D" w:rsidRDefault="007B712D" w:rsidP="007A5E54">
      <w:pPr>
        <w:numPr>
          <w:ilvl w:val="0"/>
          <w:numId w:val="81"/>
        </w:numPr>
        <w:spacing w:before="120"/>
      </w:pPr>
      <w:r>
        <w:t xml:space="preserve">Your answer is correct. Pledging an individual retirement annuity as collateral for a loan could cause the plan to become disqualified. </w:t>
      </w:r>
      <w:r w:rsidRPr="000B485C">
        <w:t xml:space="preserve">When disqualified, the </w:t>
      </w:r>
      <w:r>
        <w:t xml:space="preserve">plan </w:t>
      </w:r>
      <w:r w:rsidRPr="000B485C">
        <w:t xml:space="preserve">funds </w:t>
      </w:r>
      <w:r>
        <w:t xml:space="preserve">are </w:t>
      </w:r>
      <w:r w:rsidRPr="000B485C">
        <w:t xml:space="preserve">immediately </w:t>
      </w:r>
      <w:r>
        <w:t xml:space="preserve">subject to income taxation </w:t>
      </w:r>
      <w:r w:rsidRPr="000B485C">
        <w:t xml:space="preserve">and, if the </w:t>
      </w:r>
      <w:r>
        <w:t>IRA owner</w:t>
      </w:r>
      <w:r w:rsidRPr="000B485C">
        <w:t xml:space="preserve"> is </w:t>
      </w:r>
      <w:r>
        <w:t>younger</w:t>
      </w:r>
      <w:r w:rsidRPr="000B485C">
        <w:t xml:space="preserve"> than age 59</w:t>
      </w:r>
      <w:r>
        <w:t>½</w:t>
      </w:r>
      <w:r w:rsidR="00A95039">
        <w:fldChar w:fldCharType="begin"/>
      </w:r>
      <w:r w:rsidR="00500F1D">
        <w:instrText xml:space="preserve"> XE "</w:instrText>
      </w:r>
      <w:r w:rsidR="00500F1D" w:rsidRPr="00CD56BD">
        <w:rPr>
          <w:szCs w:val="22"/>
        </w:rPr>
        <w:instrText>age 59½</w:instrText>
      </w:r>
      <w:r w:rsidR="00500F1D">
        <w:instrText xml:space="preserve">" </w:instrText>
      </w:r>
      <w:r w:rsidR="00A95039">
        <w:fldChar w:fldCharType="end"/>
      </w:r>
      <w:r w:rsidRPr="000B485C">
        <w:t>,</w:t>
      </w:r>
      <w:r>
        <w:t xml:space="preserve"> a</w:t>
      </w:r>
      <w:r w:rsidRPr="000B485C">
        <w:t xml:space="preserve"> penalty </w:t>
      </w:r>
      <w:r>
        <w:t>equal to 10 percent of the amount includible in the individual’s income may be imposed</w:t>
      </w:r>
      <w:r w:rsidRPr="000B485C">
        <w:t xml:space="preserve"> for premature distribution</w:t>
      </w:r>
      <w:r>
        <w:t>.</w:t>
      </w:r>
    </w:p>
    <w:p w14:paraId="3AAFF599" w14:textId="77777777" w:rsidR="007B712D" w:rsidRDefault="007B712D" w:rsidP="007A5E54">
      <w:pPr>
        <w:numPr>
          <w:ilvl w:val="0"/>
          <w:numId w:val="81"/>
        </w:numPr>
        <w:spacing w:before="120"/>
      </w:pPr>
      <w:r>
        <w:t>Your answer is incorrect. Although loans may be made under certain qualified plans if the plan document provides for them, such a provision does not apply to an IRA. Please try again.</w:t>
      </w:r>
    </w:p>
    <w:p w14:paraId="0B6DC700" w14:textId="77777777" w:rsidR="007B712D" w:rsidRDefault="007B712D" w:rsidP="007B712D">
      <w:r>
        <w:t>Question 3 Feedback</w:t>
      </w:r>
    </w:p>
    <w:p w14:paraId="0D780B5E" w14:textId="77777777" w:rsidR="007B712D" w:rsidRDefault="007B712D" w:rsidP="007A5E54">
      <w:pPr>
        <w:numPr>
          <w:ilvl w:val="0"/>
          <w:numId w:val="83"/>
        </w:numPr>
        <w:spacing w:before="120"/>
      </w:pPr>
      <w:r>
        <w:t>Your answer is incorrect. Tax-deductibility of traditional individual retirement account contributions—whether used for allocation to a custodial/trust account or for purchase of an annuity—is the result of the IRA, rather than being due to the particular investment vehicle. Accordingly, Pat’s desire to have tax-deductible contributions should not affect her choice of an appropriate investment to which to allocate her IRA contributions. Please try again.</w:t>
      </w:r>
    </w:p>
    <w:p w14:paraId="5158C9BF" w14:textId="77777777" w:rsidR="007B712D" w:rsidRDefault="007B712D" w:rsidP="007A5E54">
      <w:pPr>
        <w:numPr>
          <w:ilvl w:val="0"/>
          <w:numId w:val="83"/>
        </w:numPr>
        <w:spacing w:before="120"/>
      </w:pPr>
      <w:r>
        <w:t>Your answer is incorrect. Tax-deferral is a characteristic of all IRAs, and is not dependent on the investment to which IRA assets are allocated. Please try again.</w:t>
      </w:r>
    </w:p>
    <w:p w14:paraId="564091DB" w14:textId="77777777" w:rsidR="007B712D" w:rsidRDefault="007B712D" w:rsidP="007A5E54">
      <w:pPr>
        <w:numPr>
          <w:ilvl w:val="0"/>
          <w:numId w:val="83"/>
        </w:numPr>
        <w:spacing w:before="120"/>
      </w:pPr>
      <w:r>
        <w:t>Your answer is incorrect. Traditional IRAs do not enjoy FIFO tax treatment</w:t>
      </w:r>
      <w:r w:rsidR="00A95039">
        <w:fldChar w:fldCharType="begin"/>
      </w:r>
      <w:r w:rsidR="00293611">
        <w:instrText xml:space="preserve"> XE "</w:instrText>
      </w:r>
      <w:r w:rsidR="00293611" w:rsidRPr="00CD56BD">
        <w:rPr>
          <w:szCs w:val="22"/>
        </w:rPr>
        <w:instrText>FIFO tax treatment</w:instrText>
      </w:r>
      <w:r w:rsidR="00293611">
        <w:instrText xml:space="preserve">" </w:instrText>
      </w:r>
      <w:r w:rsidR="00A95039">
        <w:fldChar w:fldCharType="end"/>
      </w:r>
      <w:r>
        <w:t>, although Roth IRAs</w:t>
      </w:r>
      <w:r w:rsidR="00A95039">
        <w:fldChar w:fldCharType="begin"/>
      </w:r>
      <w:r w:rsidR="00293611">
        <w:instrText xml:space="preserve"> XE "</w:instrText>
      </w:r>
      <w:r w:rsidR="00293611" w:rsidRPr="00CD56BD">
        <w:instrText>Roth IRAs</w:instrText>
      </w:r>
      <w:r w:rsidR="00293611">
        <w:instrText xml:space="preserve">" </w:instrText>
      </w:r>
      <w:r w:rsidR="00A95039">
        <w:fldChar w:fldCharType="end"/>
      </w:r>
      <w:r>
        <w:t xml:space="preserve"> do. Despite that, however, the decision to fund a traditional IRA</w:t>
      </w:r>
      <w:r w:rsidR="00A95039">
        <w:fldChar w:fldCharType="begin"/>
      </w:r>
      <w:r w:rsidR="00293611">
        <w:instrText xml:space="preserve"> XE "</w:instrText>
      </w:r>
      <w:r w:rsidR="00293611" w:rsidRPr="00CD56BD">
        <w:rPr>
          <w:szCs w:val="22"/>
        </w:rPr>
        <w:instrText>traditional IRA</w:instrText>
      </w:r>
      <w:r w:rsidR="00293611">
        <w:instrText xml:space="preserve">" </w:instrText>
      </w:r>
      <w:r w:rsidR="00A95039">
        <w:fldChar w:fldCharType="end"/>
      </w:r>
      <w:r>
        <w:t xml:space="preserve"> with an annuity should not hinge on the tax treatment of withdrawals. Please try again.</w:t>
      </w:r>
    </w:p>
    <w:p w14:paraId="062866DD" w14:textId="77777777" w:rsidR="007B712D" w:rsidRDefault="007B712D" w:rsidP="007A5E54">
      <w:pPr>
        <w:numPr>
          <w:ilvl w:val="0"/>
          <w:numId w:val="83"/>
        </w:numPr>
        <w:spacing w:before="120"/>
      </w:pPr>
      <w:r>
        <w:t xml:space="preserve">Your answer is correct. </w:t>
      </w:r>
      <w:r>
        <w:rPr>
          <w:szCs w:val="22"/>
        </w:rPr>
        <w:t>The NASD (now FINRA) has published guidelines concerning the use of variable annuities</w:t>
      </w:r>
      <w:r w:rsidR="00A95039">
        <w:rPr>
          <w:szCs w:val="22"/>
        </w:rPr>
        <w:fldChar w:fldCharType="begin"/>
      </w:r>
      <w:r w:rsidR="00293611">
        <w:instrText xml:space="preserve"> XE "</w:instrText>
      </w:r>
      <w:r w:rsidR="00293611" w:rsidRPr="00CD56BD">
        <w:rPr>
          <w:szCs w:val="22"/>
        </w:rPr>
        <w:instrText>annuities</w:instrText>
      </w:r>
      <w:r w:rsidR="00293611">
        <w:instrText xml:space="preserve">" </w:instrText>
      </w:r>
      <w:r w:rsidR="00A95039">
        <w:rPr>
          <w:szCs w:val="22"/>
        </w:rPr>
        <w:fldChar w:fldCharType="end"/>
      </w:r>
      <w:r>
        <w:rPr>
          <w:szCs w:val="22"/>
        </w:rPr>
        <w:t xml:space="preserve"> to fund tax-qualified plans, including IRAs</w:t>
      </w:r>
      <w:r w:rsidR="009A2958">
        <w:rPr>
          <w:szCs w:val="22"/>
        </w:rPr>
        <w:t>,</w:t>
      </w:r>
      <w:r>
        <w:t xml:space="preserve"> which state that an</w:t>
      </w:r>
      <w:r>
        <w:rPr>
          <w:szCs w:val="22"/>
        </w:rPr>
        <w:t xml:space="preserve"> annuity should be recommended </w:t>
      </w:r>
      <w:r>
        <w:t xml:space="preserve">as an IRA funding vehicle </w:t>
      </w:r>
      <w:r>
        <w:rPr>
          <w:szCs w:val="22"/>
        </w:rPr>
        <w:t xml:space="preserve">only when the individual is seeking the </w:t>
      </w:r>
      <w:r>
        <w:rPr>
          <w:i/>
          <w:szCs w:val="22"/>
        </w:rPr>
        <w:t>non-tax benefits</w:t>
      </w:r>
      <w:r>
        <w:rPr>
          <w:szCs w:val="22"/>
        </w:rPr>
        <w:t xml:space="preserve"> of an annuity</w:t>
      </w:r>
      <w:r w:rsidR="00A95039">
        <w:rPr>
          <w:szCs w:val="22"/>
        </w:rPr>
        <w:fldChar w:fldCharType="begin"/>
      </w:r>
      <w:r w:rsidR="00293611">
        <w:instrText xml:space="preserve"> XE "</w:instrText>
      </w:r>
      <w:r w:rsidR="00293611" w:rsidRPr="00CD56BD">
        <w:rPr>
          <w:i/>
          <w:szCs w:val="22"/>
        </w:rPr>
        <w:instrText>non-tax benefits</w:instrText>
      </w:r>
      <w:r w:rsidR="00293611" w:rsidRPr="00CD56BD">
        <w:rPr>
          <w:szCs w:val="22"/>
        </w:rPr>
        <w:instrText xml:space="preserve"> of an annuity</w:instrText>
      </w:r>
      <w:r w:rsidR="00293611">
        <w:instrText xml:space="preserve">" </w:instrText>
      </w:r>
      <w:r w:rsidR="00A95039">
        <w:rPr>
          <w:szCs w:val="22"/>
        </w:rPr>
        <w:fldChar w:fldCharType="end"/>
      </w:r>
      <w:r>
        <w:t>, such as its ability to provide a life income or its death</w:t>
      </w:r>
      <w:r w:rsidR="00A95039">
        <w:fldChar w:fldCharType="begin"/>
      </w:r>
      <w:r w:rsidR="00293611">
        <w:instrText xml:space="preserve"> XE "</w:instrText>
      </w:r>
      <w:r w:rsidR="00293611" w:rsidRPr="00CD56BD">
        <w:instrText>death</w:instrText>
      </w:r>
      <w:r w:rsidR="00293611">
        <w:instrText xml:space="preserve">" </w:instrText>
      </w:r>
      <w:r w:rsidR="00A95039">
        <w:fldChar w:fldCharType="end"/>
      </w:r>
      <w:r>
        <w:t xml:space="preserve"> benefits</w:t>
      </w:r>
      <w:r>
        <w:rPr>
          <w:szCs w:val="22"/>
        </w:rPr>
        <w:t>.</w:t>
      </w:r>
    </w:p>
    <w:p w14:paraId="56FED9C4" w14:textId="77777777" w:rsidR="007B712D" w:rsidRDefault="000E36E1" w:rsidP="000E36E1">
      <w:pPr>
        <w:pStyle w:val="Heading3"/>
      </w:pPr>
      <w:bookmarkStart w:id="203" w:name="_Toc404357262"/>
      <w:r>
        <w:t>Review Quiz #6</w:t>
      </w:r>
      <w:bookmarkEnd w:id="203"/>
    </w:p>
    <w:p w14:paraId="09F517DD" w14:textId="77777777" w:rsidR="000E36E1" w:rsidRDefault="000E36E1" w:rsidP="000E36E1">
      <w:r>
        <w:t>Question 1 Feedback</w:t>
      </w:r>
    </w:p>
    <w:p w14:paraId="1AA11CBB" w14:textId="77777777" w:rsidR="000E36E1" w:rsidRDefault="000E36E1" w:rsidP="007A5E54">
      <w:pPr>
        <w:numPr>
          <w:ilvl w:val="0"/>
          <w:numId w:val="86"/>
        </w:numPr>
        <w:spacing w:before="120"/>
      </w:pPr>
      <w:r>
        <w:t>Your answer is incorrect. Although Helen’s modified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exceeds the applicable amount, her eligibility to make an ESA contribution in </w:t>
      </w:r>
      <w:r w:rsidR="00B4268F">
        <w:t>201</w:t>
      </w:r>
      <w:r w:rsidR="00E944B5">
        <w:t>5</w:t>
      </w:r>
      <w:r>
        <w:t xml:space="preserve"> is not eliminated. Please try again.</w:t>
      </w:r>
    </w:p>
    <w:p w14:paraId="31D7E230" w14:textId="77777777" w:rsidR="000E36E1" w:rsidRDefault="000E36E1" w:rsidP="007A5E54">
      <w:pPr>
        <w:numPr>
          <w:ilvl w:val="0"/>
          <w:numId w:val="86"/>
        </w:numPr>
        <w:spacing w:before="120"/>
      </w:pPr>
      <w:r>
        <w:t>Your answer is correct. While Helen’s modified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is greater than the applicable amount, the ESA contribution she may make is not eliminated. Instead, it is limited in accordance with a formula that reduces the allowable contribution over a $30,000 MAGI range from $190,000 to $220,000. T</w:t>
      </w:r>
      <w:r w:rsidRPr="000B485C">
        <w:t xml:space="preserve">he formula for calculating the reduction from </w:t>
      </w:r>
      <w:r>
        <w:t>the maximum ESA contribution for higher-income joint filers is as follows:</w:t>
      </w:r>
    </w:p>
    <w:tbl>
      <w:tblPr>
        <w:tblW w:w="0" w:type="auto"/>
        <w:jc w:val="center"/>
        <w:tblLook w:val="01E0" w:firstRow="1" w:lastRow="1" w:firstColumn="1" w:lastColumn="1" w:noHBand="0" w:noVBand="0"/>
      </w:tblPr>
      <w:tblGrid>
        <w:gridCol w:w="2127"/>
        <w:gridCol w:w="339"/>
        <w:gridCol w:w="2463"/>
        <w:gridCol w:w="394"/>
        <w:gridCol w:w="2126"/>
      </w:tblGrid>
      <w:tr w:rsidR="006D389B" w:rsidRPr="006D389B" w14:paraId="7A4F5A79" w14:textId="77777777" w:rsidTr="00540D3F">
        <w:trPr>
          <w:jc w:val="center"/>
        </w:trPr>
        <w:tc>
          <w:tcPr>
            <w:tcW w:w="2127" w:type="dxa"/>
          </w:tcPr>
          <w:p w14:paraId="420D2461" w14:textId="77777777" w:rsidR="000E36E1" w:rsidRPr="006D389B" w:rsidRDefault="000E36E1" w:rsidP="00540D3F">
            <w:pPr>
              <w:spacing w:after="0"/>
              <w:jc w:val="center"/>
              <w:rPr>
                <w:szCs w:val="22"/>
                <w:u w:val="single"/>
              </w:rPr>
            </w:pPr>
            <w:r w:rsidRPr="006D389B">
              <w:rPr>
                <w:szCs w:val="22"/>
                <w:u w:val="single"/>
              </w:rPr>
              <w:t>MAGI - $190,000</w:t>
            </w:r>
          </w:p>
          <w:p w14:paraId="0D396805" w14:textId="77777777" w:rsidR="000E36E1" w:rsidRPr="006D389B" w:rsidRDefault="000E36E1" w:rsidP="00540D3F">
            <w:pPr>
              <w:spacing w:after="0"/>
              <w:jc w:val="center"/>
              <w:rPr>
                <w:szCs w:val="22"/>
              </w:rPr>
            </w:pPr>
            <w:r w:rsidRPr="006D389B">
              <w:rPr>
                <w:szCs w:val="22"/>
              </w:rPr>
              <w:t>$30,000</w:t>
            </w:r>
          </w:p>
        </w:tc>
        <w:tc>
          <w:tcPr>
            <w:tcW w:w="339" w:type="dxa"/>
          </w:tcPr>
          <w:p w14:paraId="6E5845EE" w14:textId="77777777" w:rsidR="000E36E1" w:rsidRPr="006D389B" w:rsidRDefault="000E36E1" w:rsidP="00540D3F">
            <w:pPr>
              <w:spacing w:after="0"/>
              <w:jc w:val="center"/>
              <w:rPr>
                <w:szCs w:val="22"/>
              </w:rPr>
            </w:pPr>
            <w:r w:rsidRPr="00843A52">
              <w:t>x</w:t>
            </w:r>
          </w:p>
        </w:tc>
        <w:tc>
          <w:tcPr>
            <w:tcW w:w="2463" w:type="dxa"/>
          </w:tcPr>
          <w:p w14:paraId="4B7FAB8E" w14:textId="77777777" w:rsidR="000E36E1" w:rsidRPr="006D389B" w:rsidRDefault="000E36E1" w:rsidP="00540D3F">
            <w:pPr>
              <w:spacing w:after="0"/>
              <w:jc w:val="center"/>
              <w:rPr>
                <w:szCs w:val="22"/>
              </w:rPr>
            </w:pPr>
            <w:r w:rsidRPr="006D389B">
              <w:rPr>
                <w:szCs w:val="22"/>
              </w:rPr>
              <w:t>Maximum Permitted Contribution</w:t>
            </w:r>
          </w:p>
        </w:tc>
        <w:tc>
          <w:tcPr>
            <w:tcW w:w="394" w:type="dxa"/>
          </w:tcPr>
          <w:p w14:paraId="7BE5363B" w14:textId="77777777" w:rsidR="000E36E1" w:rsidRPr="006D389B" w:rsidRDefault="000E36E1" w:rsidP="00540D3F">
            <w:pPr>
              <w:spacing w:after="0"/>
              <w:jc w:val="center"/>
              <w:rPr>
                <w:szCs w:val="22"/>
              </w:rPr>
            </w:pPr>
            <w:r w:rsidRPr="006D389B">
              <w:rPr>
                <w:szCs w:val="22"/>
              </w:rPr>
              <w:t>=</w:t>
            </w:r>
          </w:p>
        </w:tc>
        <w:tc>
          <w:tcPr>
            <w:tcW w:w="2126" w:type="dxa"/>
          </w:tcPr>
          <w:p w14:paraId="235E78DC" w14:textId="77777777" w:rsidR="000E36E1" w:rsidRPr="006D389B" w:rsidRDefault="000E36E1" w:rsidP="00540D3F">
            <w:pPr>
              <w:spacing w:after="0"/>
              <w:jc w:val="center"/>
              <w:rPr>
                <w:szCs w:val="22"/>
              </w:rPr>
            </w:pPr>
            <w:r w:rsidRPr="006D389B">
              <w:rPr>
                <w:szCs w:val="22"/>
              </w:rPr>
              <w:t>Reduction in Contribution</w:t>
            </w:r>
          </w:p>
        </w:tc>
      </w:tr>
    </w:tbl>
    <w:p w14:paraId="514EC9E5" w14:textId="77777777" w:rsidR="000E36E1" w:rsidRDefault="000E36E1" w:rsidP="000E36E1">
      <w:pPr>
        <w:ind w:left="720"/>
      </w:pPr>
      <w:r>
        <w:t>Since Helen’s 201</w:t>
      </w:r>
      <w:r w:rsidR="00E944B5">
        <w:t>5</w:t>
      </w:r>
      <w:r>
        <w:t xml:space="preserve"> MAGI is $205,000, her maximum ESA contribution is reduced to $1,000 as shown in the following formula:</w:t>
      </w:r>
    </w:p>
    <w:tbl>
      <w:tblPr>
        <w:tblW w:w="0" w:type="auto"/>
        <w:jc w:val="center"/>
        <w:tblLook w:val="01E0" w:firstRow="1" w:lastRow="1" w:firstColumn="1" w:lastColumn="1" w:noHBand="0" w:noVBand="0"/>
      </w:tblPr>
      <w:tblGrid>
        <w:gridCol w:w="2099"/>
        <w:gridCol w:w="354"/>
        <w:gridCol w:w="1138"/>
        <w:gridCol w:w="525"/>
        <w:gridCol w:w="1260"/>
      </w:tblGrid>
      <w:tr w:rsidR="006D389B" w:rsidRPr="006D389B" w14:paraId="4C7281E4" w14:textId="77777777" w:rsidTr="00540D3F">
        <w:trPr>
          <w:jc w:val="center"/>
        </w:trPr>
        <w:tc>
          <w:tcPr>
            <w:tcW w:w="2099" w:type="dxa"/>
          </w:tcPr>
          <w:p w14:paraId="56A42C6F" w14:textId="77777777" w:rsidR="000E36E1" w:rsidRPr="006D389B" w:rsidRDefault="000E36E1" w:rsidP="00540D3F">
            <w:pPr>
              <w:spacing w:after="0"/>
              <w:jc w:val="center"/>
              <w:rPr>
                <w:szCs w:val="22"/>
                <w:u w:val="single"/>
              </w:rPr>
            </w:pPr>
            <w:r w:rsidRPr="006D389B">
              <w:rPr>
                <w:szCs w:val="22"/>
                <w:u w:val="single"/>
              </w:rPr>
              <w:t>$205,000 - $190,000</w:t>
            </w:r>
          </w:p>
          <w:p w14:paraId="73497AC8" w14:textId="77777777" w:rsidR="000E36E1" w:rsidRPr="006D389B" w:rsidRDefault="000E36E1" w:rsidP="00540D3F">
            <w:pPr>
              <w:spacing w:after="0"/>
              <w:jc w:val="center"/>
              <w:rPr>
                <w:szCs w:val="22"/>
              </w:rPr>
            </w:pPr>
            <w:r w:rsidRPr="006D389B">
              <w:rPr>
                <w:szCs w:val="22"/>
              </w:rPr>
              <w:lastRenderedPageBreak/>
              <w:t>$30,000</w:t>
            </w:r>
          </w:p>
        </w:tc>
        <w:tc>
          <w:tcPr>
            <w:tcW w:w="354" w:type="dxa"/>
          </w:tcPr>
          <w:p w14:paraId="64F85067" w14:textId="77777777" w:rsidR="000E36E1" w:rsidRPr="006D389B" w:rsidRDefault="000E36E1" w:rsidP="00540D3F">
            <w:pPr>
              <w:spacing w:after="0"/>
              <w:jc w:val="center"/>
              <w:rPr>
                <w:szCs w:val="22"/>
              </w:rPr>
            </w:pPr>
            <w:r w:rsidRPr="00843A52">
              <w:lastRenderedPageBreak/>
              <w:t>x</w:t>
            </w:r>
          </w:p>
        </w:tc>
        <w:tc>
          <w:tcPr>
            <w:tcW w:w="1138" w:type="dxa"/>
          </w:tcPr>
          <w:p w14:paraId="2531621A" w14:textId="77777777" w:rsidR="000E36E1" w:rsidRPr="006D389B" w:rsidRDefault="000E36E1" w:rsidP="00540D3F">
            <w:pPr>
              <w:spacing w:after="0"/>
              <w:jc w:val="center"/>
              <w:rPr>
                <w:szCs w:val="22"/>
              </w:rPr>
            </w:pPr>
            <w:r w:rsidRPr="006D389B">
              <w:rPr>
                <w:szCs w:val="22"/>
              </w:rPr>
              <w:t>$2,000</w:t>
            </w:r>
          </w:p>
        </w:tc>
        <w:tc>
          <w:tcPr>
            <w:tcW w:w="525" w:type="dxa"/>
          </w:tcPr>
          <w:p w14:paraId="728D3B63" w14:textId="77777777" w:rsidR="000E36E1" w:rsidRPr="006D389B" w:rsidRDefault="000E36E1" w:rsidP="00540D3F">
            <w:pPr>
              <w:spacing w:after="0"/>
              <w:jc w:val="center"/>
              <w:rPr>
                <w:szCs w:val="22"/>
              </w:rPr>
            </w:pPr>
            <w:r w:rsidRPr="006D389B">
              <w:rPr>
                <w:szCs w:val="22"/>
              </w:rPr>
              <w:t>=</w:t>
            </w:r>
          </w:p>
        </w:tc>
        <w:tc>
          <w:tcPr>
            <w:tcW w:w="1260" w:type="dxa"/>
          </w:tcPr>
          <w:p w14:paraId="2F2C2ACB" w14:textId="77777777" w:rsidR="000E36E1" w:rsidRPr="006D389B" w:rsidRDefault="000E36E1" w:rsidP="00540D3F">
            <w:pPr>
              <w:spacing w:after="0"/>
              <w:jc w:val="center"/>
              <w:rPr>
                <w:szCs w:val="22"/>
              </w:rPr>
            </w:pPr>
            <w:r w:rsidRPr="006D389B">
              <w:rPr>
                <w:szCs w:val="22"/>
              </w:rPr>
              <w:t>$1,000</w:t>
            </w:r>
          </w:p>
        </w:tc>
      </w:tr>
    </w:tbl>
    <w:p w14:paraId="5FEDE0FE" w14:textId="77777777" w:rsidR="000E36E1" w:rsidRDefault="000E36E1" w:rsidP="007A5E54">
      <w:pPr>
        <w:numPr>
          <w:ilvl w:val="0"/>
          <w:numId w:val="86"/>
        </w:numPr>
        <w:spacing w:before="120"/>
      </w:pPr>
      <w:r>
        <w:t>Your answer is incorrect.  Although Helen could normally make a $2,000 ESA contribution for her granddaughter, her modified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affects the amount of her permitted contribution. Please try again.</w:t>
      </w:r>
    </w:p>
    <w:p w14:paraId="43DD4FF5" w14:textId="77777777" w:rsidR="000E36E1" w:rsidRDefault="000E36E1" w:rsidP="007A5E54">
      <w:pPr>
        <w:numPr>
          <w:ilvl w:val="0"/>
          <w:numId w:val="86"/>
        </w:numPr>
        <w:spacing w:before="120"/>
      </w:pPr>
      <w:r>
        <w:t>Your answer is incorrect. Although a $5,</w:t>
      </w:r>
      <w:r w:rsidR="00071AC9">
        <w:t>5</w:t>
      </w:r>
      <w:r>
        <w:t>00 contribution could be made to an individual retirement account, that limit does not apply to Coverdell Education Savings Accounts</w:t>
      </w:r>
      <w:r w:rsidR="00A95039">
        <w:fldChar w:fldCharType="begin"/>
      </w:r>
      <w:r w:rsidR="00293611">
        <w:instrText xml:space="preserve"> XE "</w:instrText>
      </w:r>
      <w:r w:rsidR="00293611" w:rsidRPr="00CD56BD">
        <w:instrText>Coverdell Education Savings Accounts</w:instrText>
      </w:r>
      <w:r w:rsidR="00293611">
        <w:instrText xml:space="preserve">" </w:instrText>
      </w:r>
      <w:r w:rsidR="00A95039">
        <w:fldChar w:fldCharType="end"/>
      </w:r>
      <w:r>
        <w:t xml:space="preserve">. Please try again. </w:t>
      </w:r>
    </w:p>
    <w:p w14:paraId="1C51421F" w14:textId="77777777" w:rsidR="000E36E1" w:rsidRDefault="000E36E1" w:rsidP="000E36E1">
      <w:r>
        <w:t>Question 2 Feedback</w:t>
      </w:r>
    </w:p>
    <w:p w14:paraId="74626A1D" w14:textId="77777777" w:rsidR="000E36E1" w:rsidRDefault="000E36E1" w:rsidP="007A5E54">
      <w:pPr>
        <w:numPr>
          <w:ilvl w:val="0"/>
          <w:numId w:val="88"/>
        </w:numPr>
        <w:spacing w:before="120"/>
      </w:pPr>
      <w:r>
        <w:t xml:space="preserve">Your answer is incorrect. Barbara’s receipt of </w:t>
      </w:r>
      <w:r w:rsidR="00AE10A9">
        <w:t>an 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will affect her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and, as a result, the amount of tax-free distribution she can receive from her Coverdell ESA. Please try again.</w:t>
      </w:r>
    </w:p>
    <w:p w14:paraId="7E8DC5FB" w14:textId="77777777" w:rsidR="000E36E1" w:rsidRDefault="000E36E1" w:rsidP="007A5E54">
      <w:pPr>
        <w:numPr>
          <w:ilvl w:val="0"/>
          <w:numId w:val="88"/>
        </w:numPr>
        <w:spacing w:before="120"/>
      </w:pPr>
      <w:r>
        <w:t xml:space="preserve">Your answer is incorrect. Although Barbara’s receipt of </w:t>
      </w:r>
      <w:r w:rsidR="00AE10A9">
        <w:t>an 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reduces her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and, as a result, the maximum amount of tax-free distribution from her Coverdell ESA, the credit does not eliminate the tax-free distribution. Please try again.</w:t>
      </w:r>
    </w:p>
    <w:p w14:paraId="1FF11A4F" w14:textId="77777777" w:rsidR="000E36E1" w:rsidRDefault="000E36E1" w:rsidP="007A5E54">
      <w:pPr>
        <w:numPr>
          <w:ilvl w:val="0"/>
          <w:numId w:val="88"/>
        </w:numPr>
        <w:spacing w:before="120"/>
      </w:pPr>
      <w:r>
        <w:t xml:space="preserve">Your answer is correct. Barbara’s receipt of a $2,500 </w:t>
      </w:r>
      <w:r w:rsidR="00AE10A9">
        <w:t>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reduces her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w:t>
      </w:r>
      <w:r w:rsidR="00071AC9">
        <w:t xml:space="preserve">by $4,000, the amount of qualified education expenses that must be taken into account. </w:t>
      </w:r>
      <w:r>
        <w:t xml:space="preserve"> Accordingly, her qualified education expenses are reduced to $2</w:t>
      </w:r>
      <w:r w:rsidR="00071AC9">
        <w:t>1,000</w:t>
      </w:r>
      <w:r>
        <w:t>. Since tax-free distributions from an ESA are limited to no more than qualified education expenses, her tax-free distribution is reduced to $</w:t>
      </w:r>
      <w:r w:rsidR="00071AC9">
        <w:t xml:space="preserve">21,000. </w:t>
      </w:r>
    </w:p>
    <w:p w14:paraId="7F8B005E" w14:textId="77777777" w:rsidR="000E36E1" w:rsidRDefault="000E36E1" w:rsidP="007A5E54">
      <w:pPr>
        <w:numPr>
          <w:ilvl w:val="0"/>
          <w:numId w:val="88"/>
        </w:numPr>
        <w:spacing w:before="120"/>
      </w:pPr>
      <w:r>
        <w:t xml:space="preserve">Your answer is incorrect. The </w:t>
      </w:r>
      <w:r w:rsidR="00AE10A9">
        <w:t>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xml:space="preserve"> is not added to the total of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in order to determine the tax-free ESA distribution. Please try again.</w:t>
      </w:r>
    </w:p>
    <w:p w14:paraId="129A14C8" w14:textId="77777777" w:rsidR="000E36E1" w:rsidRDefault="000E36E1" w:rsidP="000E36E1">
      <w:r>
        <w:t>Question 3 Feedback</w:t>
      </w:r>
    </w:p>
    <w:p w14:paraId="3C1BEF3C" w14:textId="77777777" w:rsidR="000E36E1" w:rsidRDefault="000E36E1" w:rsidP="007A5E54">
      <w:pPr>
        <w:numPr>
          <w:ilvl w:val="0"/>
          <w:numId w:val="90"/>
        </w:numPr>
        <w:spacing w:before="120"/>
      </w:pPr>
      <w:r>
        <w:t xml:space="preserve">Your answer is correct. </w:t>
      </w:r>
      <w:r>
        <w:rPr>
          <w:szCs w:val="22"/>
        </w:rPr>
        <w:t>D</w:t>
      </w:r>
      <w:r w:rsidRPr="000B485C">
        <w:rPr>
          <w:szCs w:val="22"/>
        </w:rPr>
        <w:t xml:space="preserve">istributions from an </w:t>
      </w:r>
      <w:r>
        <w:rPr>
          <w:szCs w:val="22"/>
        </w:rPr>
        <w:t>ESA</w:t>
      </w:r>
      <w:r w:rsidRPr="000B485C">
        <w:rPr>
          <w:szCs w:val="22"/>
        </w:rPr>
        <w:t xml:space="preserve"> may be includible in the recipient’s income if </w:t>
      </w:r>
      <w:r>
        <w:rPr>
          <w:szCs w:val="22"/>
        </w:rPr>
        <w:t xml:space="preserve">they </w:t>
      </w:r>
      <w:r>
        <w:t>exceed the designated beneficiary’s</w:t>
      </w:r>
      <w:r w:rsidRPr="000B485C">
        <w:rPr>
          <w:szCs w:val="22"/>
        </w:rPr>
        <w:t xml:space="preserve"> qualified education expenses</w:t>
      </w:r>
      <w:r w:rsidR="00A95039">
        <w:rPr>
          <w:szCs w:val="22"/>
        </w:rPr>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rPr>
          <w:szCs w:val="22"/>
        </w:rPr>
        <w:fldChar w:fldCharType="end"/>
      </w:r>
      <w:r w:rsidRPr="000B485C">
        <w:rPr>
          <w:szCs w:val="22"/>
        </w:rPr>
        <w:t>.</w:t>
      </w:r>
      <w:r>
        <w:rPr>
          <w:szCs w:val="22"/>
        </w:rPr>
        <w:t xml:space="preserve"> In such a case, a</w:t>
      </w:r>
      <w:r w:rsidR="0024190C">
        <w:rPr>
          <w:szCs w:val="22"/>
        </w:rPr>
        <w:t xml:space="preserve"> calculation</w:t>
      </w:r>
      <w:r>
        <w:rPr>
          <w:szCs w:val="22"/>
        </w:rPr>
        <w:t xml:space="preserve"> </w:t>
      </w:r>
      <w:r>
        <w:t>involving four steps is used</w:t>
      </w:r>
      <w:r>
        <w:rPr>
          <w:szCs w:val="22"/>
        </w:rPr>
        <w:t xml:space="preserve"> to determine the amount of the distribution that </w:t>
      </w:r>
      <w:r>
        <w:t>is includible in gross income</w:t>
      </w:r>
      <w:r>
        <w:rPr>
          <w:szCs w:val="22"/>
        </w:rPr>
        <w:t>.</w:t>
      </w:r>
      <w:r>
        <w:t xml:space="preserve"> Determining the includible amount of any excess distribution requires first that the investment in the ESA be subtracted from the total distribution. In Arthur’s case, the $36,000 contributed to the ESA must be subtracted from the $40,000 distribution; the result is $4,000. In the second step, the qualified education expenses must be divided by the distribution. The qualified education expenses, for purposes of the ESA, are $30,</w:t>
      </w:r>
      <w:r w:rsidR="0024190C">
        <w:t>0</w:t>
      </w:r>
      <w:r>
        <w:t xml:space="preserve">00 less the amount of </w:t>
      </w:r>
      <w:r w:rsidR="0024190C">
        <w:t xml:space="preserve">the expenses taken into account for </w:t>
      </w:r>
      <w:r>
        <w:t xml:space="preserve">the </w:t>
      </w:r>
      <w:r w:rsidR="00AE10A9">
        <w:t>American Opportunity</w:t>
      </w:r>
      <w:r>
        <w:t xml:space="preserve"> Credit</w:t>
      </w:r>
      <w:r w:rsidR="00A95039">
        <w:fldChar w:fldCharType="begin"/>
      </w:r>
      <w:r w:rsidR="00500F1D">
        <w:instrText xml:space="preserve"> XE "</w:instrText>
      </w:r>
      <w:r w:rsidR="00500F1D" w:rsidRPr="00CD56BD">
        <w:rPr>
          <w:szCs w:val="22"/>
        </w:rPr>
        <w:instrText>Hope Scholarship Credit</w:instrText>
      </w:r>
      <w:r w:rsidR="00500F1D">
        <w:instrText xml:space="preserve">" </w:instrText>
      </w:r>
      <w:r w:rsidR="00A95039">
        <w:fldChar w:fldCharType="end"/>
      </w:r>
      <w:r>
        <w:t>, or $2</w:t>
      </w:r>
      <w:r w:rsidR="0024190C">
        <w:t>6</w:t>
      </w:r>
      <w:r>
        <w:t>,000. By dividing the $2</w:t>
      </w:r>
      <w:r w:rsidR="0024190C">
        <w:t>6</w:t>
      </w:r>
      <w:r>
        <w:t>,000 of expenses by the amount of the distribution, a ratio of .</w:t>
      </w:r>
      <w:r w:rsidR="0024190C">
        <w:t>65</w:t>
      </w:r>
      <w:r>
        <w:t xml:space="preserve"> is determined. ($2</w:t>
      </w:r>
      <w:r w:rsidR="0024190C">
        <w:t>6</w:t>
      </w:r>
      <w:r>
        <w:t xml:space="preserve">,000 </w:t>
      </w:r>
      <w:r>
        <w:sym w:font="Symbol" w:char="F0B8"/>
      </w:r>
      <w:r>
        <w:t xml:space="preserve"> $40,000 = .</w:t>
      </w:r>
      <w:r w:rsidR="0024190C">
        <w:t>65</w:t>
      </w:r>
      <w:r>
        <w:t>) In the third step, the ratio is multiplied by the $4,000 result determined in step 1 to yield a tax-free amount of $2,</w:t>
      </w:r>
      <w:r w:rsidR="0024190C">
        <w:t>6</w:t>
      </w:r>
      <w:r>
        <w:t>00 that represents a recovery of basis. The final step is to subtract the $2,</w:t>
      </w:r>
      <w:r w:rsidR="0024190C">
        <w:t>6</w:t>
      </w:r>
      <w:r>
        <w:t>00 tax-free amount from the amount of the distribution in excess of the total ESA contributions, i.e. $4,000. The resulting amount—$1,</w:t>
      </w:r>
      <w:r w:rsidR="0024190C">
        <w:t>4</w:t>
      </w:r>
      <w:r>
        <w:t>00, in this case—is includible in income.</w:t>
      </w:r>
    </w:p>
    <w:p w14:paraId="16B59B94" w14:textId="77777777" w:rsidR="000E36E1" w:rsidRDefault="000E36E1" w:rsidP="007A5E54">
      <w:pPr>
        <w:numPr>
          <w:ilvl w:val="0"/>
          <w:numId w:val="90"/>
        </w:numPr>
        <w:spacing w:before="120"/>
      </w:pPr>
      <w:r>
        <w:t>Your answer is incorrect. A portion of an ESA distribution in excess of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may be includible in income if the distribution exceeds the sum of the contributions made to the ESA. The includible portion is based on a ratio calculation. Since Arthur’s </w:t>
      </w:r>
      <w:r>
        <w:lastRenderedPageBreak/>
        <w:t>distribution exceeds his qualified education expenses and the sum of the ESA contributions, a portion of the excess distribution is includible in income. Please try again.</w:t>
      </w:r>
    </w:p>
    <w:p w14:paraId="501E3AE1" w14:textId="77777777" w:rsidR="000E36E1" w:rsidRDefault="000E36E1" w:rsidP="007A5E54">
      <w:pPr>
        <w:numPr>
          <w:ilvl w:val="0"/>
          <w:numId w:val="90"/>
        </w:numPr>
        <w:spacing w:before="120"/>
      </w:pPr>
      <w:r>
        <w:t>Your answer is incorrect. Although the distribution from the ESA exceeds Arthur’s qualified education expenses</w:t>
      </w:r>
      <w:r w:rsidR="00A95039">
        <w:fldChar w:fldCharType="begin"/>
      </w:r>
      <w:r w:rsidR="00500F1D">
        <w:instrText xml:space="preserve"> XE "</w:instrText>
      </w:r>
      <w:r w:rsidR="00500F1D" w:rsidRPr="00CD56BD">
        <w:rPr>
          <w:szCs w:val="22"/>
        </w:rPr>
        <w:instrText>qualified education expenses</w:instrText>
      </w:r>
      <w:r w:rsidR="00500F1D">
        <w:instrText xml:space="preserve">" </w:instrText>
      </w:r>
      <w:r w:rsidR="00A95039">
        <w:fldChar w:fldCharType="end"/>
      </w:r>
      <w:r>
        <w:t xml:space="preserve"> by $1</w:t>
      </w:r>
      <w:r w:rsidR="0024190C">
        <w:t>4</w:t>
      </w:r>
      <w:r>
        <w:t xml:space="preserve">,000, the total </w:t>
      </w:r>
      <w:r w:rsidR="0024190C">
        <w:t xml:space="preserve">ESA </w:t>
      </w:r>
      <w:r>
        <w:t>gain includible</w:t>
      </w:r>
      <w:r w:rsidR="0024190C">
        <w:t xml:space="preserve"> in income may be much less</w:t>
      </w:r>
      <w:r>
        <w:t>. Please try again.</w:t>
      </w:r>
    </w:p>
    <w:p w14:paraId="32C5B9D5" w14:textId="77777777" w:rsidR="000E36E1" w:rsidRPr="000B485C" w:rsidRDefault="000E36E1" w:rsidP="007A5E54">
      <w:pPr>
        <w:numPr>
          <w:ilvl w:val="0"/>
          <w:numId w:val="90"/>
        </w:numPr>
        <w:spacing w:before="120"/>
        <w:rPr>
          <w:szCs w:val="22"/>
        </w:rPr>
      </w:pPr>
      <w:r>
        <w:t>Your answer is incorrect. An excess ESA distribution may be includible in the recipient’s income. Although the total distribution exceeds the sum of the ESA contributions by $4,000, only a portion of that excess distribution is includible in income</w:t>
      </w:r>
      <w:r w:rsidR="0024190C">
        <w:t>.</w:t>
      </w:r>
      <w:r>
        <w:t xml:space="preserve">  Please try again.    </w:t>
      </w:r>
    </w:p>
    <w:p w14:paraId="6676F007" w14:textId="77777777" w:rsidR="000E36E1" w:rsidRDefault="00D95538" w:rsidP="000A5B03">
      <w:pPr>
        <w:pStyle w:val="Heading3"/>
      </w:pPr>
      <w:bookmarkStart w:id="204" w:name="_Toc404357263"/>
      <w:r>
        <w:t>Review Quiz #7</w:t>
      </w:r>
      <w:bookmarkEnd w:id="204"/>
    </w:p>
    <w:p w14:paraId="7BE3199A" w14:textId="77777777" w:rsidR="00D95538" w:rsidRDefault="00D95538" w:rsidP="00D95538">
      <w:pPr>
        <w:ind w:left="360"/>
      </w:pPr>
      <w:r>
        <w:t>Question 1 Feedback</w:t>
      </w:r>
    </w:p>
    <w:p w14:paraId="525A19B6" w14:textId="77777777" w:rsidR="00D95538" w:rsidRDefault="00D95538" w:rsidP="009A2958">
      <w:pPr>
        <w:numPr>
          <w:ilvl w:val="0"/>
          <w:numId w:val="93"/>
        </w:numPr>
        <w:tabs>
          <w:tab w:val="clear" w:pos="1080"/>
        </w:tabs>
        <w:spacing w:before="120"/>
        <w:ind w:left="720"/>
      </w:pPr>
      <w:r>
        <w:t>Your answer is incorrect. In order for Patrick,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his employer’s SEP IRA, to be able to deduct his entire employee contribution, his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would need to be no more than $9</w:t>
      </w:r>
      <w:r w:rsidR="00E944B5">
        <w:t>8</w:t>
      </w:r>
      <w:r>
        <w:t>,000 in 201</w:t>
      </w:r>
      <w:r w:rsidR="00E944B5">
        <w:t>5</w:t>
      </w:r>
      <w:r>
        <w:t>. Please try again.</w:t>
      </w:r>
    </w:p>
    <w:p w14:paraId="65994331" w14:textId="77777777" w:rsidR="00D95538" w:rsidRDefault="00D95538" w:rsidP="009A2958">
      <w:pPr>
        <w:numPr>
          <w:ilvl w:val="0"/>
          <w:numId w:val="93"/>
        </w:numPr>
        <w:tabs>
          <w:tab w:val="clear" w:pos="1080"/>
        </w:tabs>
        <w:spacing w:before="120"/>
        <w:ind w:left="720"/>
      </w:pPr>
      <w:r>
        <w:t>Your answer is incorrect. The answer you chose, i.e. $4,</w:t>
      </w:r>
      <w:r w:rsidR="001A6F90">
        <w:t>87</w:t>
      </w:r>
      <w:r>
        <w:t xml:space="preserve">5, is the amount of the </w:t>
      </w:r>
      <w:r w:rsidRPr="00271855">
        <w:rPr>
          <w:i/>
        </w:rPr>
        <w:t>reduction</w:t>
      </w:r>
      <w:r>
        <w:t xml:space="preserve"> in Patrick’s deduction, rather than the deduction itself. Please try again.</w:t>
      </w:r>
    </w:p>
    <w:p w14:paraId="43B3941B" w14:textId="77777777" w:rsidR="00D95538" w:rsidRDefault="00D95538" w:rsidP="009A2958">
      <w:pPr>
        <w:numPr>
          <w:ilvl w:val="0"/>
          <w:numId w:val="93"/>
        </w:numPr>
        <w:tabs>
          <w:tab w:val="clear" w:pos="1080"/>
        </w:tabs>
        <w:spacing w:before="120"/>
        <w:ind w:left="720"/>
      </w:pPr>
      <w:r>
        <w:t>Your answer is correct. Although Patrick may make an employee contribution of up to $6,</w:t>
      </w:r>
      <w:r w:rsidR="001A6F90">
        <w:t>5</w:t>
      </w:r>
      <w:r>
        <w:t>00 to his SEP IRA account in 201</w:t>
      </w:r>
      <w:r w:rsidR="00E944B5">
        <w:t>5</w:t>
      </w:r>
      <w:r>
        <w:t>, his status as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his employer’s SEP IRA may limit the amount of his deduction for the employee contribution, depending on his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The reduction in the amount of his employee contribution that he can deduct is determined by using the following formula:</w:t>
      </w:r>
    </w:p>
    <w:tbl>
      <w:tblPr>
        <w:tblW w:w="0" w:type="auto"/>
        <w:jc w:val="center"/>
        <w:tblLook w:val="01E0" w:firstRow="1" w:lastRow="1" w:firstColumn="1" w:lastColumn="1" w:noHBand="0" w:noVBand="0"/>
      </w:tblPr>
      <w:tblGrid>
        <w:gridCol w:w="1440"/>
        <w:gridCol w:w="540"/>
        <w:gridCol w:w="1338"/>
        <w:gridCol w:w="326"/>
        <w:gridCol w:w="3730"/>
      </w:tblGrid>
      <w:tr w:rsidR="006D389B" w:rsidRPr="004C031C" w14:paraId="63FB77E4" w14:textId="77777777" w:rsidTr="005A5F3A">
        <w:trPr>
          <w:jc w:val="center"/>
        </w:trPr>
        <w:tc>
          <w:tcPr>
            <w:tcW w:w="1440" w:type="dxa"/>
          </w:tcPr>
          <w:p w14:paraId="5B459976" w14:textId="77777777" w:rsidR="00D95538" w:rsidRPr="004C031C" w:rsidRDefault="00D95538" w:rsidP="005A5F3A">
            <w:pPr>
              <w:spacing w:after="0"/>
            </w:pPr>
            <w:r w:rsidRPr="004C031C">
              <w:t>Reduction</w:t>
            </w:r>
            <w:r>
              <w:t xml:space="preserve"> </w:t>
            </w:r>
            <w:r w:rsidRPr="004C031C">
              <w:t>of</w:t>
            </w:r>
            <w:r>
              <w:t xml:space="preserve"> </w:t>
            </w:r>
            <w:r w:rsidRPr="004C031C">
              <w:t>Deduction</w:t>
            </w:r>
          </w:p>
        </w:tc>
        <w:tc>
          <w:tcPr>
            <w:tcW w:w="540" w:type="dxa"/>
          </w:tcPr>
          <w:p w14:paraId="181D32EA" w14:textId="77777777" w:rsidR="00D95538" w:rsidRPr="004C031C" w:rsidRDefault="00D95538" w:rsidP="005A5F3A">
            <w:pPr>
              <w:spacing w:after="0"/>
              <w:jc w:val="center"/>
            </w:pPr>
            <w:r w:rsidRPr="004C031C">
              <w:t>=</w:t>
            </w:r>
          </w:p>
        </w:tc>
        <w:tc>
          <w:tcPr>
            <w:tcW w:w="1338" w:type="dxa"/>
          </w:tcPr>
          <w:p w14:paraId="3336F5D4" w14:textId="77777777" w:rsidR="00D95538" w:rsidRPr="004C031C" w:rsidRDefault="00D95538" w:rsidP="005A5F3A">
            <w:pPr>
              <w:spacing w:after="0"/>
              <w:jc w:val="center"/>
            </w:pPr>
            <w:r w:rsidRPr="004C031C">
              <w:t>Maximum deduction</w:t>
            </w:r>
          </w:p>
        </w:tc>
        <w:tc>
          <w:tcPr>
            <w:tcW w:w="326" w:type="dxa"/>
          </w:tcPr>
          <w:p w14:paraId="5E81900B" w14:textId="77777777" w:rsidR="00D95538" w:rsidRPr="004C031C" w:rsidRDefault="00D95538" w:rsidP="005A5F3A">
            <w:pPr>
              <w:spacing w:after="0"/>
            </w:pPr>
            <w:r>
              <w:t>x</w:t>
            </w:r>
          </w:p>
        </w:tc>
        <w:tc>
          <w:tcPr>
            <w:tcW w:w="3730" w:type="dxa"/>
          </w:tcPr>
          <w:p w14:paraId="2B7FE185" w14:textId="77777777" w:rsidR="00D95538" w:rsidRPr="004C031C" w:rsidRDefault="00D95538" w:rsidP="005A5F3A">
            <w:pPr>
              <w:spacing w:after="0"/>
              <w:jc w:val="center"/>
            </w:pPr>
            <w:r w:rsidRPr="006D389B">
              <w:rPr>
                <w:u w:val="single"/>
              </w:rPr>
              <w:t>AGI – applicable dollar amount</w:t>
            </w:r>
            <w:r w:rsidR="00A95039" w:rsidRPr="006D389B">
              <w:rPr>
                <w:u w:val="single"/>
              </w:rPr>
              <w:fldChar w:fldCharType="begin"/>
            </w:r>
            <w:r w:rsidR="00293611">
              <w:instrText xml:space="preserve"> XE "</w:instrText>
            </w:r>
            <w:r w:rsidR="00293611" w:rsidRPr="006D389B">
              <w:rPr>
                <w:szCs w:val="22"/>
              </w:rPr>
              <w:instrText>applicable dollar amount</w:instrText>
            </w:r>
            <w:r w:rsidR="00293611">
              <w:instrText xml:space="preserve">" </w:instrText>
            </w:r>
            <w:r w:rsidR="00A95039" w:rsidRPr="006D389B">
              <w:rPr>
                <w:u w:val="single"/>
              </w:rPr>
              <w:fldChar w:fldCharType="end"/>
            </w:r>
            <w:r>
              <w:br/>
            </w:r>
            <w:r w:rsidRPr="004C031C">
              <w:t>$</w:t>
            </w:r>
            <w:r>
              <w:t>2</w:t>
            </w:r>
            <w:r w:rsidRPr="004C031C">
              <w:t>0,000</w:t>
            </w:r>
          </w:p>
        </w:tc>
      </w:tr>
    </w:tbl>
    <w:p w14:paraId="41335818" w14:textId="77777777" w:rsidR="005D116F" w:rsidRDefault="00D95538">
      <w:pPr>
        <w:spacing w:before="120"/>
        <w:ind w:left="720"/>
      </w:pPr>
      <w:r>
        <w:t>Patrick’s maximum employee contribution to his employer’s SEP IRA in 201</w:t>
      </w:r>
      <w:r w:rsidR="00E944B5">
        <w:t>5</w:t>
      </w:r>
      <w:r>
        <w:t xml:space="preserve"> is $6,</w:t>
      </w:r>
      <w:r w:rsidR="001A6F90">
        <w:t>5</w:t>
      </w:r>
      <w:r>
        <w:t>00, comprised of both a regular and a catch-up contribution. Since his AGI is $1</w:t>
      </w:r>
      <w:r w:rsidR="001A6F90">
        <w:t>1</w:t>
      </w:r>
      <w:r w:rsidR="00E944B5">
        <w:t>3</w:t>
      </w:r>
      <w:r>
        <w:t>,000 and the 201</w:t>
      </w:r>
      <w:r w:rsidR="00E944B5">
        <w:t>5</w:t>
      </w:r>
      <w:r>
        <w:t xml:space="preserve"> applicable dollar amount</w:t>
      </w:r>
      <w:r w:rsidR="00A95039">
        <w:fldChar w:fldCharType="begin"/>
      </w:r>
      <w:r w:rsidR="00293611">
        <w:instrText xml:space="preserve"> XE "</w:instrText>
      </w:r>
      <w:r w:rsidR="00293611" w:rsidRPr="00CD56BD">
        <w:rPr>
          <w:szCs w:val="22"/>
        </w:rPr>
        <w:instrText>applicable dollar amount</w:instrText>
      </w:r>
      <w:r w:rsidR="00293611">
        <w:instrText xml:space="preserve">" </w:instrText>
      </w:r>
      <w:r w:rsidR="00A95039">
        <w:fldChar w:fldCharType="end"/>
      </w:r>
      <w:r>
        <w:t xml:space="preserve"> is $9</w:t>
      </w:r>
      <w:r w:rsidR="00E944B5">
        <w:t>8</w:t>
      </w:r>
      <w:r>
        <w:t>,000, we can see the reduction in his deduction is $4,</w:t>
      </w:r>
      <w:r w:rsidR="001A6F90">
        <w:t>87</w:t>
      </w:r>
      <w:r>
        <w:t>5 by substituting the appropriate numbers in the formula as follows:</w:t>
      </w:r>
    </w:p>
    <w:tbl>
      <w:tblPr>
        <w:tblW w:w="0" w:type="auto"/>
        <w:jc w:val="center"/>
        <w:tblLook w:val="01E0" w:firstRow="1" w:lastRow="1" w:firstColumn="1" w:lastColumn="1" w:noHBand="0" w:noVBand="0"/>
      </w:tblPr>
      <w:tblGrid>
        <w:gridCol w:w="942"/>
        <w:gridCol w:w="540"/>
        <w:gridCol w:w="1438"/>
        <w:gridCol w:w="330"/>
        <w:gridCol w:w="3353"/>
      </w:tblGrid>
      <w:tr w:rsidR="006D389B" w:rsidRPr="004C031C" w14:paraId="41D2E24C" w14:textId="77777777" w:rsidTr="005A5F3A">
        <w:trPr>
          <w:jc w:val="center"/>
        </w:trPr>
        <w:tc>
          <w:tcPr>
            <w:tcW w:w="942" w:type="dxa"/>
          </w:tcPr>
          <w:p w14:paraId="69C76AA1" w14:textId="77777777" w:rsidR="00D95538" w:rsidRPr="004C031C" w:rsidRDefault="00D95538" w:rsidP="001A6F90">
            <w:pPr>
              <w:spacing w:after="0"/>
              <w:jc w:val="center"/>
            </w:pPr>
            <w:r>
              <w:t>$4,</w:t>
            </w:r>
            <w:r w:rsidR="001A6F90">
              <w:t>87</w:t>
            </w:r>
            <w:r>
              <w:t>5</w:t>
            </w:r>
          </w:p>
        </w:tc>
        <w:tc>
          <w:tcPr>
            <w:tcW w:w="540" w:type="dxa"/>
          </w:tcPr>
          <w:p w14:paraId="2252A17E" w14:textId="77777777" w:rsidR="00D95538" w:rsidRPr="004C031C" w:rsidRDefault="00D95538" w:rsidP="005A5F3A">
            <w:pPr>
              <w:spacing w:after="0"/>
              <w:jc w:val="center"/>
            </w:pPr>
            <w:r w:rsidRPr="004C031C">
              <w:t>=</w:t>
            </w:r>
          </w:p>
        </w:tc>
        <w:tc>
          <w:tcPr>
            <w:tcW w:w="1438" w:type="dxa"/>
          </w:tcPr>
          <w:p w14:paraId="570A340A" w14:textId="77777777" w:rsidR="00D95538" w:rsidRPr="004C031C" w:rsidRDefault="00D95538" w:rsidP="003B31A9">
            <w:pPr>
              <w:spacing w:after="0"/>
              <w:jc w:val="center"/>
            </w:pPr>
            <w:r>
              <w:t>$6,</w:t>
            </w:r>
            <w:r w:rsidR="003B31A9">
              <w:t>5</w:t>
            </w:r>
            <w:r>
              <w:t>00</w:t>
            </w:r>
          </w:p>
        </w:tc>
        <w:tc>
          <w:tcPr>
            <w:tcW w:w="330" w:type="dxa"/>
          </w:tcPr>
          <w:p w14:paraId="3D7B5899" w14:textId="77777777" w:rsidR="00D95538" w:rsidRPr="004C031C" w:rsidRDefault="00D95538" w:rsidP="005A5F3A">
            <w:pPr>
              <w:spacing w:after="0"/>
            </w:pPr>
            <w:r>
              <w:t>x</w:t>
            </w:r>
          </w:p>
        </w:tc>
        <w:tc>
          <w:tcPr>
            <w:tcW w:w="3353" w:type="dxa"/>
          </w:tcPr>
          <w:p w14:paraId="4002ADD0" w14:textId="77777777" w:rsidR="00D95538" w:rsidRPr="004C031C" w:rsidRDefault="00D95538" w:rsidP="00E944B5">
            <w:pPr>
              <w:spacing w:after="0"/>
              <w:jc w:val="center"/>
            </w:pPr>
            <w:r w:rsidRPr="006D389B">
              <w:rPr>
                <w:u w:val="single"/>
              </w:rPr>
              <w:t>$1</w:t>
            </w:r>
            <w:r w:rsidR="003B31A9">
              <w:rPr>
                <w:u w:val="single"/>
              </w:rPr>
              <w:t>1</w:t>
            </w:r>
            <w:r w:rsidR="00E944B5">
              <w:rPr>
                <w:u w:val="single"/>
              </w:rPr>
              <w:t>3</w:t>
            </w:r>
            <w:r w:rsidRPr="006D389B">
              <w:rPr>
                <w:u w:val="single"/>
              </w:rPr>
              <w:t>,000 – $9</w:t>
            </w:r>
            <w:r w:rsidR="00E944B5">
              <w:rPr>
                <w:u w:val="single"/>
              </w:rPr>
              <w:t>8</w:t>
            </w:r>
            <w:r w:rsidRPr="006D389B">
              <w:rPr>
                <w:u w:val="single"/>
              </w:rPr>
              <w:t>,000</w:t>
            </w:r>
            <w:r>
              <w:br/>
            </w:r>
            <w:r w:rsidRPr="004C031C">
              <w:t>$</w:t>
            </w:r>
            <w:r>
              <w:t>2</w:t>
            </w:r>
            <w:r w:rsidRPr="004C031C">
              <w:t>0,000</w:t>
            </w:r>
          </w:p>
        </w:tc>
      </w:tr>
    </w:tbl>
    <w:p w14:paraId="5240605D" w14:textId="77777777" w:rsidR="005D116F" w:rsidRDefault="00D95538">
      <w:pPr>
        <w:tabs>
          <w:tab w:val="left" w:pos="720"/>
        </w:tabs>
        <w:ind w:left="720"/>
      </w:pPr>
      <w:r>
        <w:t>Since his deduction is reduced by $4,</w:t>
      </w:r>
      <w:r w:rsidR="003B31A9">
        <w:t>87</w:t>
      </w:r>
      <w:r>
        <w:t>5, the amount he may deduct is $1,</w:t>
      </w:r>
      <w:r w:rsidR="003B31A9">
        <w:t>625</w:t>
      </w:r>
      <w:r>
        <w:t>. ($6,</w:t>
      </w:r>
      <w:r w:rsidR="003B31A9">
        <w:t>5</w:t>
      </w:r>
      <w:r>
        <w:t>00 - $4,</w:t>
      </w:r>
      <w:r w:rsidR="003B31A9">
        <w:t>875</w:t>
      </w:r>
      <w:r>
        <w:t xml:space="preserve"> = $1,</w:t>
      </w:r>
      <w:r w:rsidR="003B31A9">
        <w:t>625</w:t>
      </w:r>
      <w:r>
        <w:t>)</w:t>
      </w:r>
    </w:p>
    <w:p w14:paraId="0ABDB910" w14:textId="77777777" w:rsidR="005D116F" w:rsidRDefault="00D95538">
      <w:pPr>
        <w:numPr>
          <w:ilvl w:val="0"/>
          <w:numId w:val="93"/>
        </w:numPr>
        <w:tabs>
          <w:tab w:val="clear" w:pos="1080"/>
        </w:tabs>
        <w:spacing w:before="120"/>
        <w:ind w:left="720"/>
      </w:pPr>
      <w:r>
        <w:t>Your answer is incorrect. Although Patrick’s deduction is reduced because he is an active participant</w:t>
      </w:r>
      <w:r w:rsidR="00A95039">
        <w:fldChar w:fldCharType="begin"/>
      </w:r>
      <w:r w:rsidR="00293611">
        <w:instrText xml:space="preserve"> XE "</w:instrText>
      </w:r>
      <w:r w:rsidR="00293611" w:rsidRPr="00CD56BD">
        <w:rPr>
          <w:szCs w:val="22"/>
        </w:rPr>
        <w:instrText>active participant</w:instrText>
      </w:r>
      <w:r w:rsidR="00293611">
        <w:instrText xml:space="preserve">" </w:instrText>
      </w:r>
      <w:r w:rsidR="00A95039">
        <w:fldChar w:fldCharType="end"/>
      </w:r>
      <w:r>
        <w:t xml:space="preserve"> in his employer’s SEP IRA and has an adjusted gross income</w:t>
      </w:r>
      <w:r w:rsidR="00A95039">
        <w:fldChar w:fldCharType="begin"/>
      </w:r>
      <w:r w:rsidR="00293611">
        <w:instrText xml:space="preserve"> XE "</w:instrText>
      </w:r>
      <w:r w:rsidR="00293611" w:rsidRPr="00CD56BD">
        <w:rPr>
          <w:szCs w:val="22"/>
        </w:rPr>
        <w:instrText>adjusted gross income</w:instrText>
      </w:r>
      <w:r w:rsidR="00293611">
        <w:instrText xml:space="preserve">" </w:instrText>
      </w:r>
      <w:r w:rsidR="00A95039">
        <w:fldChar w:fldCharType="end"/>
      </w:r>
      <w:r>
        <w:t xml:space="preserve"> of more than $9</w:t>
      </w:r>
      <w:r w:rsidR="009A2958">
        <w:t>6</w:t>
      </w:r>
      <w:r>
        <w:t>,000, his deduction would not be eliminated entirely unless his AGI was $1</w:t>
      </w:r>
      <w:r w:rsidR="005A5F3A">
        <w:t>1</w:t>
      </w:r>
      <w:r w:rsidR="009A2958">
        <w:t>6</w:t>
      </w:r>
      <w:r>
        <w:t xml:space="preserve">,000 or more. Please try again. </w:t>
      </w:r>
    </w:p>
    <w:p w14:paraId="2B715628" w14:textId="77777777" w:rsidR="00D95538" w:rsidRDefault="00D95538" w:rsidP="00D95538">
      <w:r>
        <w:t>Question 2 Feedback</w:t>
      </w:r>
    </w:p>
    <w:p w14:paraId="360310FA" w14:textId="77777777" w:rsidR="00D95538" w:rsidRDefault="00D95538" w:rsidP="007A5E54">
      <w:pPr>
        <w:numPr>
          <w:ilvl w:val="0"/>
          <w:numId w:val="95"/>
        </w:numPr>
        <w:spacing w:before="120"/>
      </w:pPr>
      <w:r>
        <w:t xml:space="preserve">Your answer is correct. Harriet’s tax liability is comprised of the liability resulting from her need to recognize the taxable distribution of $25,000 in her 25% tax bracket </w:t>
      </w:r>
      <w:r>
        <w:rPr>
          <w:i/>
        </w:rPr>
        <w:t>plus</w:t>
      </w:r>
      <w:r>
        <w:t xml:space="preserve"> the tax penalty of 10% on the includible distribution in excess of the $10,000 first-time homebuyer exception to the premature withdrawal tax penalty. Her tax liability is, therefore, $7,750. ($25,000 </w:t>
      </w:r>
      <w:r>
        <w:rPr>
          <w:i/>
        </w:rPr>
        <w:t>x</w:t>
      </w:r>
      <w:r>
        <w:t xml:space="preserve"> 25% = $6,250 </w:t>
      </w:r>
      <w:r>
        <w:rPr>
          <w:i/>
        </w:rPr>
        <w:t>plus</w:t>
      </w:r>
      <w:r>
        <w:t xml:space="preserve"> $15,000 </w:t>
      </w:r>
      <w:r>
        <w:rPr>
          <w:i/>
        </w:rPr>
        <w:t>x</w:t>
      </w:r>
      <w:r>
        <w:t xml:space="preserve"> 10% = $1,500; $6,250 + $1,500 = $7,750) </w:t>
      </w:r>
    </w:p>
    <w:p w14:paraId="2EAF157F" w14:textId="77777777" w:rsidR="00D95538" w:rsidRDefault="00D95538" w:rsidP="007A5E54">
      <w:pPr>
        <w:numPr>
          <w:ilvl w:val="0"/>
          <w:numId w:val="95"/>
        </w:numPr>
        <w:spacing w:before="120"/>
      </w:pPr>
      <w:r>
        <w:lastRenderedPageBreak/>
        <w:t>Your answer is incorrect. Although Harriet receives a $10,000 exception to the premature withdrawal tax penalty as a first-time homebuyer, she must, nonetheless, recognize the entire $25,000 distribution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t>. Please try again.</w:t>
      </w:r>
    </w:p>
    <w:p w14:paraId="0DD87857" w14:textId="77777777" w:rsidR="00D95538" w:rsidRDefault="00D95538" w:rsidP="007A5E54">
      <w:pPr>
        <w:numPr>
          <w:ilvl w:val="0"/>
          <w:numId w:val="95"/>
        </w:numPr>
        <w:spacing w:before="120"/>
      </w:pPr>
      <w:r>
        <w:t>Your answer is incorrect. Harriet receives a $10,000 exception to the premature distribution tax penalty as a first-time homebuyer that was not considered. Please try again.</w:t>
      </w:r>
    </w:p>
    <w:p w14:paraId="448D54DB" w14:textId="77777777" w:rsidR="00D95538" w:rsidRPr="00240784" w:rsidRDefault="00D95538" w:rsidP="007A5E54">
      <w:pPr>
        <w:numPr>
          <w:ilvl w:val="0"/>
          <w:numId w:val="95"/>
        </w:numPr>
        <w:spacing w:before="120"/>
      </w:pPr>
      <w:r>
        <w:t>Your answer is incorrect. Although a portion of Harriet’s distribution is exempt from the imposition of a premature distribution tax penalty as a first-time homebuyer, the balance of the distribution is subject to the tax penalty. Furthermore, the entire amount of the distribution is includible in Harriet’s gross income. Please try again.</w:t>
      </w:r>
    </w:p>
    <w:p w14:paraId="7CFD38AF" w14:textId="77777777" w:rsidR="00D95538" w:rsidRDefault="00D95538" w:rsidP="00D95538">
      <w:r>
        <w:t>Question 3 Feedback</w:t>
      </w:r>
    </w:p>
    <w:p w14:paraId="19749DB1" w14:textId="77777777" w:rsidR="00D95538" w:rsidRDefault="00D95538" w:rsidP="007A5E54">
      <w:pPr>
        <w:numPr>
          <w:ilvl w:val="0"/>
          <w:numId w:val="97"/>
        </w:numPr>
        <w:spacing w:before="120"/>
      </w:pPr>
      <w:r>
        <w:t>Your answer is incorrect. A portion of Audrey’s $20,000 SEP IRA distribution is deemed to be comprised of a tax-free recovery of her non-deductible plan contributions. Please try again.</w:t>
      </w:r>
    </w:p>
    <w:p w14:paraId="29D25C8E" w14:textId="77777777" w:rsidR="00D95538" w:rsidRDefault="00D95538" w:rsidP="007A5E54">
      <w:pPr>
        <w:numPr>
          <w:ilvl w:val="0"/>
          <w:numId w:val="97"/>
        </w:numPr>
        <w:spacing w:before="120"/>
      </w:pPr>
      <w:r>
        <w:t>Your answer is correct. Since Audrey had made non-deductible contributions to her SEP IRA account that had not yet been recovered, a portion of her distribution is deemed to be comprised of a tax-free recovery of such contributions. The formula for calculating the portion of a SEP distribution that is excludable from income as being attributable to non-deductible contributions is as follows:</w:t>
      </w:r>
    </w:p>
    <w:tbl>
      <w:tblPr>
        <w:tblW w:w="8271" w:type="dxa"/>
        <w:jc w:val="center"/>
        <w:tblLook w:val="01E0" w:firstRow="1" w:lastRow="1" w:firstColumn="1" w:lastColumn="1" w:noHBand="0" w:noVBand="0"/>
      </w:tblPr>
      <w:tblGrid>
        <w:gridCol w:w="4050"/>
        <w:gridCol w:w="326"/>
        <w:gridCol w:w="1380"/>
        <w:gridCol w:w="360"/>
        <w:gridCol w:w="2155"/>
      </w:tblGrid>
      <w:tr w:rsidR="006D389B" w14:paraId="4A5B6E47" w14:textId="77777777" w:rsidTr="005A5F3A">
        <w:trPr>
          <w:jc w:val="center"/>
        </w:trPr>
        <w:tc>
          <w:tcPr>
            <w:tcW w:w="4050" w:type="dxa"/>
          </w:tcPr>
          <w:p w14:paraId="0635717B" w14:textId="77777777" w:rsidR="00D95538" w:rsidRPr="006D389B" w:rsidRDefault="00D95538" w:rsidP="005A5F3A">
            <w:pPr>
              <w:spacing w:after="0"/>
              <w:jc w:val="center"/>
              <w:rPr>
                <w:u w:val="single"/>
              </w:rPr>
            </w:pPr>
            <w:r w:rsidRPr="006D389B">
              <w:rPr>
                <w:u w:val="single"/>
              </w:rPr>
              <w:t>Unrecovered non-deductible contributions</w:t>
            </w:r>
          </w:p>
          <w:p w14:paraId="4B4F3082" w14:textId="77777777" w:rsidR="00D95538" w:rsidRPr="00CD702C" w:rsidRDefault="00D95538" w:rsidP="005A5F3A">
            <w:pPr>
              <w:spacing w:after="0"/>
              <w:jc w:val="center"/>
            </w:pPr>
            <w:r w:rsidRPr="00CD702C">
              <w:t>Total SEP balance + Distribution amount</w:t>
            </w:r>
          </w:p>
        </w:tc>
        <w:tc>
          <w:tcPr>
            <w:tcW w:w="326" w:type="dxa"/>
          </w:tcPr>
          <w:p w14:paraId="3804C73D" w14:textId="77777777" w:rsidR="00D95538" w:rsidRPr="00CD702C" w:rsidRDefault="00D95538" w:rsidP="005A5F3A">
            <w:pPr>
              <w:spacing w:after="0"/>
              <w:jc w:val="center"/>
            </w:pPr>
            <w:r>
              <w:t>x</w:t>
            </w:r>
          </w:p>
        </w:tc>
        <w:tc>
          <w:tcPr>
            <w:tcW w:w="1380" w:type="dxa"/>
          </w:tcPr>
          <w:p w14:paraId="2A5C4B19" w14:textId="77777777" w:rsidR="00D95538" w:rsidRPr="00CD702C" w:rsidRDefault="00D95538" w:rsidP="005A5F3A">
            <w:pPr>
              <w:spacing w:after="0"/>
              <w:jc w:val="center"/>
            </w:pPr>
            <w:r w:rsidRPr="00CD702C">
              <w:t>Distribution amount</w:t>
            </w:r>
          </w:p>
        </w:tc>
        <w:tc>
          <w:tcPr>
            <w:tcW w:w="360" w:type="dxa"/>
          </w:tcPr>
          <w:p w14:paraId="31B9D30D" w14:textId="77777777" w:rsidR="00D95538" w:rsidRPr="00CD702C" w:rsidRDefault="00D95538" w:rsidP="005A5F3A">
            <w:pPr>
              <w:spacing w:after="0"/>
              <w:jc w:val="center"/>
            </w:pPr>
            <w:r w:rsidRPr="00CD702C">
              <w:t>=</w:t>
            </w:r>
          </w:p>
        </w:tc>
        <w:tc>
          <w:tcPr>
            <w:tcW w:w="2155" w:type="dxa"/>
          </w:tcPr>
          <w:p w14:paraId="40E272D0" w14:textId="77777777" w:rsidR="00D95538" w:rsidRPr="00CD702C" w:rsidRDefault="00D95538" w:rsidP="005A5F3A">
            <w:pPr>
              <w:spacing w:after="0"/>
              <w:jc w:val="center"/>
            </w:pPr>
            <w:r w:rsidRPr="00CD702C">
              <w:t>Tax-free portion of distribution</w:t>
            </w:r>
          </w:p>
        </w:tc>
      </w:tr>
    </w:tbl>
    <w:p w14:paraId="30A27608" w14:textId="77777777" w:rsidR="00D95538" w:rsidRDefault="00D95538" w:rsidP="00B4268F">
      <w:pPr>
        <w:spacing w:before="120"/>
        <w:ind w:left="720"/>
      </w:pPr>
      <w:r>
        <w:t xml:space="preserve">Since Audrey’s unrecovered non-deductible contributions were $50,000 and her SEP balance at the end of </w:t>
      </w:r>
      <w:r w:rsidR="0072426B">
        <w:t>the year</w:t>
      </w:r>
      <w:r>
        <w:t xml:space="preserve"> was $480,000 we can easily determine the tax-free portion of the distribution and the portion that must be included in income by substituting the appropriate values in the formula.</w:t>
      </w:r>
    </w:p>
    <w:p w14:paraId="6396DB62" w14:textId="77777777" w:rsidR="00D95538" w:rsidRDefault="00D95538" w:rsidP="00D95538">
      <w:pPr>
        <w:ind w:left="720"/>
      </w:pPr>
      <w:r>
        <w:t>The result of the substitution is $2,000 as shown below:</w:t>
      </w:r>
    </w:p>
    <w:tbl>
      <w:tblPr>
        <w:tblW w:w="0" w:type="auto"/>
        <w:jc w:val="center"/>
        <w:tblLook w:val="01E0" w:firstRow="1" w:lastRow="1" w:firstColumn="1" w:lastColumn="1" w:noHBand="0" w:noVBand="0"/>
      </w:tblPr>
      <w:tblGrid>
        <w:gridCol w:w="2653"/>
        <w:gridCol w:w="410"/>
        <w:gridCol w:w="968"/>
        <w:gridCol w:w="341"/>
        <w:gridCol w:w="1105"/>
      </w:tblGrid>
      <w:tr w:rsidR="006D389B" w14:paraId="4F449A90" w14:textId="77777777" w:rsidTr="005A5F3A">
        <w:trPr>
          <w:trHeight w:val="458"/>
          <w:jc w:val="center"/>
        </w:trPr>
        <w:tc>
          <w:tcPr>
            <w:tcW w:w="2653" w:type="dxa"/>
          </w:tcPr>
          <w:p w14:paraId="2D6B2D92" w14:textId="77777777" w:rsidR="00D95538" w:rsidRPr="006D389B" w:rsidRDefault="00D95538" w:rsidP="005A5F3A">
            <w:pPr>
              <w:spacing w:after="0"/>
              <w:jc w:val="center"/>
              <w:rPr>
                <w:u w:val="single"/>
              </w:rPr>
            </w:pPr>
            <w:r w:rsidRPr="006D389B">
              <w:rPr>
                <w:u w:val="single"/>
              </w:rPr>
              <w:t>$50,000</w:t>
            </w:r>
          </w:p>
          <w:p w14:paraId="03C01442" w14:textId="77777777" w:rsidR="00D95538" w:rsidRPr="00CD702C" w:rsidRDefault="00D95538" w:rsidP="005A5F3A">
            <w:pPr>
              <w:spacing w:after="0"/>
              <w:jc w:val="center"/>
            </w:pPr>
            <w:r w:rsidRPr="00CD702C">
              <w:t>($</w:t>
            </w:r>
            <w:r>
              <w:t>480</w:t>
            </w:r>
            <w:r w:rsidRPr="00CD702C">
              <w:t>,000 + $</w:t>
            </w:r>
            <w:r>
              <w:t>20</w:t>
            </w:r>
            <w:r w:rsidRPr="00CD702C">
              <w:t>,000)</w:t>
            </w:r>
          </w:p>
        </w:tc>
        <w:tc>
          <w:tcPr>
            <w:tcW w:w="410" w:type="dxa"/>
          </w:tcPr>
          <w:p w14:paraId="7AD5CFC3" w14:textId="77777777" w:rsidR="00D95538" w:rsidRPr="00CD702C" w:rsidRDefault="00D95538" w:rsidP="005A5F3A">
            <w:pPr>
              <w:spacing w:after="0"/>
              <w:jc w:val="center"/>
            </w:pPr>
            <w:r>
              <w:t>X</w:t>
            </w:r>
          </w:p>
        </w:tc>
        <w:tc>
          <w:tcPr>
            <w:tcW w:w="968" w:type="dxa"/>
          </w:tcPr>
          <w:p w14:paraId="779056FC" w14:textId="77777777" w:rsidR="00D95538" w:rsidRPr="00CD702C" w:rsidRDefault="00D95538" w:rsidP="005A5F3A">
            <w:pPr>
              <w:spacing w:after="0"/>
              <w:jc w:val="center"/>
            </w:pPr>
            <w:r w:rsidRPr="00CD702C">
              <w:t>$</w:t>
            </w:r>
            <w:r>
              <w:t>20</w:t>
            </w:r>
            <w:r w:rsidRPr="00CD702C">
              <w:t>,000</w:t>
            </w:r>
          </w:p>
        </w:tc>
        <w:tc>
          <w:tcPr>
            <w:tcW w:w="341" w:type="dxa"/>
          </w:tcPr>
          <w:p w14:paraId="7765F828" w14:textId="77777777" w:rsidR="00D95538" w:rsidRPr="00CD702C" w:rsidRDefault="00D95538" w:rsidP="005A5F3A">
            <w:pPr>
              <w:spacing w:after="0"/>
              <w:jc w:val="center"/>
            </w:pPr>
            <w:r w:rsidRPr="00CD702C">
              <w:t>=</w:t>
            </w:r>
          </w:p>
        </w:tc>
        <w:tc>
          <w:tcPr>
            <w:tcW w:w="1105" w:type="dxa"/>
          </w:tcPr>
          <w:p w14:paraId="1DEE050E" w14:textId="77777777" w:rsidR="00D95538" w:rsidRPr="00CD702C" w:rsidRDefault="00D95538" w:rsidP="005A5F3A">
            <w:pPr>
              <w:spacing w:after="0"/>
              <w:jc w:val="center"/>
            </w:pPr>
            <w:r w:rsidRPr="00CD702C">
              <w:t>$</w:t>
            </w:r>
            <w:r>
              <w:t>2,0</w:t>
            </w:r>
            <w:r w:rsidRPr="00CD702C">
              <w:t>00</w:t>
            </w:r>
          </w:p>
        </w:tc>
      </w:tr>
    </w:tbl>
    <w:p w14:paraId="15EA7429" w14:textId="77777777" w:rsidR="00D95538" w:rsidRDefault="00D95538" w:rsidP="00B4268F">
      <w:pPr>
        <w:spacing w:before="120"/>
        <w:ind w:left="720"/>
      </w:pPr>
      <w:r>
        <w:t>Since $2,000 of the $20,000 distribution is tax-free as a recovery of Audrey’s basis, the balance of $18,000 is includible as ordinary income</w:t>
      </w:r>
      <w:r w:rsidR="00A95039">
        <w:fldChar w:fldCharType="begin"/>
      </w:r>
      <w:r w:rsidR="00293611">
        <w:instrText xml:space="preserve"> XE "</w:instrText>
      </w:r>
      <w:r w:rsidR="00293611" w:rsidRPr="00CD56BD">
        <w:instrText>ordinary income</w:instrText>
      </w:r>
      <w:r w:rsidR="00293611">
        <w:instrText xml:space="preserve">" </w:instrText>
      </w:r>
      <w:r w:rsidR="00A95039">
        <w:fldChar w:fldCharType="end"/>
      </w:r>
      <w:r>
        <w:t>.</w:t>
      </w:r>
    </w:p>
    <w:p w14:paraId="5E77074F" w14:textId="77777777" w:rsidR="00D95538" w:rsidRDefault="00D95538" w:rsidP="007A5E54">
      <w:pPr>
        <w:numPr>
          <w:ilvl w:val="0"/>
          <w:numId w:val="97"/>
        </w:numPr>
        <w:spacing w:before="120"/>
      </w:pPr>
      <w:r>
        <w:t>Your answer is incorrect. You have made the appropriate calculation to determine the tax-free portion of the distribution rather than the includible portion. Please try again.</w:t>
      </w:r>
    </w:p>
    <w:p w14:paraId="1760474E" w14:textId="77777777" w:rsidR="00D95538" w:rsidRDefault="00D95538" w:rsidP="007A5E54">
      <w:pPr>
        <w:numPr>
          <w:ilvl w:val="0"/>
          <w:numId w:val="97"/>
        </w:numPr>
        <w:spacing w:before="120"/>
      </w:pPr>
      <w:r>
        <w:t xml:space="preserve">Your answer is incorrect. Although Audrey’s non-deductible contributions exceed the total amount of her distribution, the non-deductible contributions are recovered on a pro-rata basis rather than all at one time. Please try again.  </w:t>
      </w:r>
    </w:p>
    <w:p w14:paraId="639C3A80" w14:textId="77777777" w:rsidR="00D95538" w:rsidRDefault="000A5B03" w:rsidP="000A5B03">
      <w:pPr>
        <w:pStyle w:val="Heading3"/>
      </w:pPr>
      <w:bookmarkStart w:id="205" w:name="_Toc404357264"/>
      <w:r>
        <w:t>Review Quiz #8</w:t>
      </w:r>
      <w:bookmarkEnd w:id="205"/>
    </w:p>
    <w:p w14:paraId="7B7D1F0E" w14:textId="77777777" w:rsidR="00763036" w:rsidRPr="001C3753" w:rsidRDefault="00763036" w:rsidP="00763036">
      <w:r>
        <w:t>Question 1 Feedback</w:t>
      </w:r>
    </w:p>
    <w:p w14:paraId="0A1D6522" w14:textId="77777777" w:rsidR="00763036" w:rsidRDefault="00763036" w:rsidP="007A5E54">
      <w:pPr>
        <w:numPr>
          <w:ilvl w:val="0"/>
          <w:numId w:val="100"/>
        </w:numPr>
        <w:spacing w:before="120"/>
      </w:pPr>
      <w:r>
        <w:t>Your answer is incorrect. The premature distribution tax penalty applies to all of the distribution that is includible in income. In Howard’s case, the entire amount of his distribution must be included. Additionally, the tax penalty is increased for distributions during the first two years of plan participation. Please try again.</w:t>
      </w:r>
    </w:p>
    <w:p w14:paraId="24BD855F" w14:textId="77777777" w:rsidR="00763036" w:rsidRDefault="00763036" w:rsidP="007A5E54">
      <w:pPr>
        <w:numPr>
          <w:ilvl w:val="0"/>
          <w:numId w:val="100"/>
        </w:numPr>
        <w:spacing w:before="120"/>
      </w:pPr>
      <w:r>
        <w:lastRenderedPageBreak/>
        <w:t>Your answer is incorrect. Although the entire distribution is correctly shown as being includible in income, the tax penalty levied on distributions occurring in the first two years of plan participation is increased. Please try again.</w:t>
      </w:r>
    </w:p>
    <w:p w14:paraId="15B253F2" w14:textId="77777777" w:rsidR="00763036" w:rsidRDefault="00763036" w:rsidP="007A5E54">
      <w:pPr>
        <w:numPr>
          <w:ilvl w:val="0"/>
          <w:numId w:val="100"/>
        </w:numPr>
        <w:spacing w:before="120"/>
      </w:pPr>
      <w:r>
        <w:t>Your answer is incorrect. The tax penalty for premature distributions</w:t>
      </w:r>
      <w:r w:rsidR="00A95039">
        <w:fldChar w:fldCharType="begin"/>
      </w:r>
      <w:r w:rsidR="00293611">
        <w:instrText xml:space="preserve"> XE "</w:instrText>
      </w:r>
      <w:r w:rsidR="00293611" w:rsidRPr="00CD56BD">
        <w:rPr>
          <w:szCs w:val="22"/>
        </w:rPr>
        <w:instrText>premature distributions</w:instrText>
      </w:r>
      <w:r w:rsidR="00293611">
        <w:instrText xml:space="preserve">" </w:instrText>
      </w:r>
      <w:r w:rsidR="00A95039">
        <w:fldChar w:fldCharType="end"/>
      </w:r>
      <w:r>
        <w:t xml:space="preserve"> from a SIMPLE IRA is based on the entire amount includible in the participant’s income, i.e. $5,000. The amount of the penalty is also affected by the duration of Howard’s plan participation. Please try again.</w:t>
      </w:r>
    </w:p>
    <w:p w14:paraId="754B3ADC" w14:textId="77777777" w:rsidR="00763036" w:rsidRDefault="00763036" w:rsidP="007A5E54">
      <w:pPr>
        <w:numPr>
          <w:ilvl w:val="0"/>
          <w:numId w:val="100"/>
        </w:numPr>
        <w:spacing w:before="120"/>
      </w:pPr>
      <w:r>
        <w:t xml:space="preserve">Your answer is correct. The premature distribution tax penalty imposed on Howard’s $5,000 distribution from a SIMPLE IRA would normally be at the rate of 10%, a rate that would result in a $500 tax penalty. However, since Howard’s distribution occurs within the first two years of his plan participation, the tax penalty is 25%, resulting in a penalty of $1,250. ($5,000 </w:t>
      </w:r>
      <w:r>
        <w:rPr>
          <w:i/>
        </w:rPr>
        <w:t>x</w:t>
      </w:r>
      <w:r>
        <w:t xml:space="preserve"> 25% = $1,250)</w:t>
      </w:r>
    </w:p>
    <w:p w14:paraId="621E02DB" w14:textId="77777777" w:rsidR="00763036" w:rsidRDefault="00763036" w:rsidP="00763036">
      <w:r>
        <w:t>Question 2 Feedback</w:t>
      </w:r>
    </w:p>
    <w:p w14:paraId="34606BFE" w14:textId="77777777" w:rsidR="00763036" w:rsidRDefault="00763036" w:rsidP="007A5E54">
      <w:pPr>
        <w:numPr>
          <w:ilvl w:val="0"/>
          <w:numId w:val="102"/>
        </w:numPr>
        <w:spacing w:before="120"/>
      </w:pPr>
      <w:r>
        <w:t>Your answer is incorrect. Elective contributions to a SIMPLE IRA are counted in the overall limit on elective deferrals that may be made by any individual. Since Shirley made an elective deferral of $</w:t>
      </w:r>
      <w:r w:rsidR="0072426B">
        <w:t>12,</w:t>
      </w:r>
      <w:r w:rsidR="00E944B5">
        <w:t>5</w:t>
      </w:r>
      <w:r w:rsidR="0072426B">
        <w:t>00</w:t>
      </w:r>
      <w:r>
        <w:t xml:space="preserve"> to the 401(k) plan, her elective contributions to the SIMPLE IRA are limited to the lesser of the permitted amount of elective contributions to the SIMPLE or the balance of permitted elective deferrals. Please try again.</w:t>
      </w:r>
    </w:p>
    <w:p w14:paraId="721BC058" w14:textId="77777777" w:rsidR="00763036" w:rsidRDefault="00763036" w:rsidP="007A5E54">
      <w:pPr>
        <w:numPr>
          <w:ilvl w:val="0"/>
          <w:numId w:val="102"/>
        </w:numPr>
        <w:spacing w:before="120"/>
      </w:pPr>
      <w:r>
        <w:t>Your answer is correct. Although Shirley would normally have been permitted to make an elective contribution to the SIMPLE IRA of up to $</w:t>
      </w:r>
      <w:r w:rsidR="0072426B">
        <w:t>12,</w:t>
      </w:r>
      <w:r w:rsidR="002B7633">
        <w:t>5</w:t>
      </w:r>
      <w:r w:rsidR="0072426B">
        <w:t>00</w:t>
      </w:r>
      <w:r>
        <w:t xml:space="preserve"> in 201</w:t>
      </w:r>
      <w:r w:rsidR="002B7633">
        <w:t>5</w:t>
      </w:r>
      <w:r>
        <w:t>, her $</w:t>
      </w:r>
      <w:r w:rsidR="0072426B">
        <w:t>12,</w:t>
      </w:r>
      <w:r w:rsidR="002B7633">
        <w:t>5</w:t>
      </w:r>
      <w:r w:rsidR="0072426B">
        <w:t xml:space="preserve">00 </w:t>
      </w:r>
      <w:r>
        <w:t>in elective deferrals under the 401(k) plan in which she participates reduces the maximum amount she can contribute to the SIMPLE IRA. That smaller amount is the lesser of $</w:t>
      </w:r>
      <w:r w:rsidR="0072426B">
        <w:t>12,</w:t>
      </w:r>
      <w:r w:rsidR="002B7633">
        <w:t>5</w:t>
      </w:r>
      <w:r w:rsidR="0072426B">
        <w:t>00</w:t>
      </w:r>
      <w:r>
        <w:t xml:space="preserve"> or the overall elective deferral limit reduced by the elective deferrals she made to the 401(k) plan, i.e. $5,</w:t>
      </w:r>
      <w:r w:rsidR="00B4268F">
        <w:t>5</w:t>
      </w:r>
      <w:r>
        <w:t>00.</w:t>
      </w:r>
    </w:p>
    <w:p w14:paraId="2DAEDE57" w14:textId="77777777" w:rsidR="00763036" w:rsidRDefault="00763036" w:rsidP="007A5E54">
      <w:pPr>
        <w:numPr>
          <w:ilvl w:val="0"/>
          <w:numId w:val="102"/>
        </w:numPr>
        <w:spacing w:before="120"/>
      </w:pPr>
      <w:r>
        <w:t>Your answer is incorrect. That is the amount of the overall limit on elective deferrals in effect in 201</w:t>
      </w:r>
      <w:r w:rsidR="002B7633">
        <w:t>5</w:t>
      </w:r>
      <w:r>
        <w:t>. The amount of elective contribution that may be made to a SIMPLE IRA is smaller. Please try again.</w:t>
      </w:r>
    </w:p>
    <w:p w14:paraId="28947883" w14:textId="77777777" w:rsidR="00763036" w:rsidRDefault="00763036" w:rsidP="007A5E54">
      <w:pPr>
        <w:numPr>
          <w:ilvl w:val="0"/>
          <w:numId w:val="102"/>
        </w:numPr>
        <w:spacing w:before="120"/>
      </w:pPr>
      <w:r>
        <w:t>Your answer is incorrect. Although Shirley’s elective deferral of $</w:t>
      </w:r>
      <w:r w:rsidR="0072426B">
        <w:t>12,</w:t>
      </w:r>
      <w:r w:rsidR="002B7633">
        <w:t>5</w:t>
      </w:r>
      <w:r w:rsidR="0072426B">
        <w:t>00</w:t>
      </w:r>
      <w:r>
        <w:t xml:space="preserve"> to the 401(k) plan in which she participates reduces the amount she can electively contribute to the SIMPLE IRA because of the overall limit on elective deferrals, it does not eliminate her ability to contribute during 201</w:t>
      </w:r>
      <w:r w:rsidR="002B7633">
        <w:t>5</w:t>
      </w:r>
      <w:r>
        <w:t xml:space="preserve">. Please try again. </w:t>
      </w:r>
    </w:p>
    <w:p w14:paraId="62E00950" w14:textId="77777777" w:rsidR="00763036" w:rsidRDefault="00763036" w:rsidP="00763036">
      <w:pPr>
        <w:ind w:left="360"/>
      </w:pPr>
      <w:r>
        <w:t>Question 3 Feedback</w:t>
      </w:r>
    </w:p>
    <w:p w14:paraId="47D22617" w14:textId="77777777" w:rsidR="00763036" w:rsidRDefault="00763036" w:rsidP="007A5E54">
      <w:pPr>
        <w:numPr>
          <w:ilvl w:val="0"/>
          <w:numId w:val="104"/>
        </w:numPr>
        <w:spacing w:before="120"/>
      </w:pPr>
      <w:r>
        <w:t>Your answer is incorrect. The overall limit on elective deferrals applicable to other than catch-up contributions</w:t>
      </w:r>
      <w:r w:rsidR="00A95039">
        <w:fldChar w:fldCharType="begin"/>
      </w:r>
      <w:r w:rsidR="00500F1D">
        <w:instrText xml:space="preserve"> XE "</w:instrText>
      </w:r>
      <w:r w:rsidR="00500F1D" w:rsidRPr="00CD56BD">
        <w:rPr>
          <w:szCs w:val="22"/>
        </w:rPr>
        <w:instrText>catch-up contributions</w:instrText>
      </w:r>
      <w:r w:rsidR="00500F1D">
        <w:instrText xml:space="preserve">" </w:instrText>
      </w:r>
      <w:r w:rsidR="00A95039">
        <w:fldChar w:fldCharType="end"/>
      </w:r>
      <w:r>
        <w:t xml:space="preserve"> is $</w:t>
      </w:r>
      <w:r w:rsidR="002B7633">
        <w:t>18,000</w:t>
      </w:r>
      <w:r>
        <w:t xml:space="preserve"> in 201</w:t>
      </w:r>
      <w:r w:rsidR="002B7633">
        <w:t>5</w:t>
      </w:r>
      <w:r>
        <w:t xml:space="preserve">. Although this overall limit may affect the amounts deferred by individuals participating in multiple deferral plans, it is not the limit specifically applicable to SIMPLE IRA plans. Please try again. </w:t>
      </w:r>
    </w:p>
    <w:p w14:paraId="640C2D00" w14:textId="77777777" w:rsidR="00763036" w:rsidRDefault="00763036" w:rsidP="007A5E54">
      <w:pPr>
        <w:numPr>
          <w:ilvl w:val="0"/>
          <w:numId w:val="104"/>
        </w:numPr>
        <w:spacing w:before="120"/>
      </w:pPr>
      <w:r>
        <w:t>Your answer is incorrect. This is the overall limit on elective deferrals, increased by catch-up contributions</w:t>
      </w:r>
      <w:r w:rsidR="00A95039">
        <w:fldChar w:fldCharType="begin"/>
      </w:r>
      <w:r w:rsidR="00500F1D">
        <w:instrText xml:space="preserve"> XE "</w:instrText>
      </w:r>
      <w:r w:rsidR="00500F1D" w:rsidRPr="00CD56BD">
        <w:rPr>
          <w:szCs w:val="22"/>
        </w:rPr>
        <w:instrText>catch-up contributions</w:instrText>
      </w:r>
      <w:r w:rsidR="00500F1D">
        <w:instrText xml:space="preserve">" </w:instrText>
      </w:r>
      <w:r w:rsidR="00A95039">
        <w:fldChar w:fldCharType="end"/>
      </w:r>
      <w:r>
        <w:t xml:space="preserve"> applicable in 201</w:t>
      </w:r>
      <w:r w:rsidR="002B7633">
        <w:t>5</w:t>
      </w:r>
      <w:r>
        <w:t>. Although this limit applies to various deferral plans, including 401(k) plans, SEPs, 403(b) plans and Section 457 plans, it does not apply to SIMPLE plans. Please try again.</w:t>
      </w:r>
    </w:p>
    <w:p w14:paraId="42274160" w14:textId="77777777" w:rsidR="00763036" w:rsidRDefault="00763036" w:rsidP="007A5E54">
      <w:pPr>
        <w:numPr>
          <w:ilvl w:val="0"/>
          <w:numId w:val="104"/>
        </w:numPr>
        <w:spacing w:before="120"/>
      </w:pPr>
      <w:r>
        <w:t>Your answer is incorrect. This is the 201</w:t>
      </w:r>
      <w:r w:rsidR="002B7633">
        <w:t>5</w:t>
      </w:r>
      <w:r>
        <w:t xml:space="preserve"> limit on regular elective contributions that may be made to a SIMPLE plan. However, it does not reflect the increased limits available to plan participants age 50 or older—participants such as Henry—who choose to make catch-up contributions</w:t>
      </w:r>
      <w:r w:rsidR="00A95039">
        <w:fldChar w:fldCharType="begin"/>
      </w:r>
      <w:r w:rsidR="00500F1D">
        <w:instrText xml:space="preserve"> XE "</w:instrText>
      </w:r>
      <w:r w:rsidR="00500F1D" w:rsidRPr="00CD56BD">
        <w:rPr>
          <w:szCs w:val="22"/>
        </w:rPr>
        <w:instrText>catch-up contributions</w:instrText>
      </w:r>
      <w:r w:rsidR="00500F1D">
        <w:instrText xml:space="preserve">" </w:instrText>
      </w:r>
      <w:r w:rsidR="00A95039">
        <w:fldChar w:fldCharType="end"/>
      </w:r>
      <w:r>
        <w:t>. Please try again.</w:t>
      </w:r>
    </w:p>
    <w:p w14:paraId="7703DAAF" w14:textId="77777777" w:rsidR="00763036" w:rsidRDefault="00763036" w:rsidP="007A5E54">
      <w:pPr>
        <w:numPr>
          <w:ilvl w:val="0"/>
          <w:numId w:val="104"/>
        </w:numPr>
        <w:spacing w:before="120"/>
      </w:pPr>
      <w:r>
        <w:lastRenderedPageBreak/>
        <w:t>Your answer is correct. The maximum amount Henry may defer under his employer’s SIMPLE IRA plan in 201</w:t>
      </w:r>
      <w:r w:rsidR="002B7633">
        <w:t>5</w:t>
      </w:r>
      <w:r>
        <w:t xml:space="preserve"> is the regular limit on SIMPLE elective contributions of $</w:t>
      </w:r>
      <w:r w:rsidR="0072426B">
        <w:t>12,</w:t>
      </w:r>
      <w:r w:rsidR="002B7633">
        <w:t>5</w:t>
      </w:r>
      <w:r w:rsidR="0072426B">
        <w:t>00</w:t>
      </w:r>
      <w:r>
        <w:t xml:space="preserve"> </w:t>
      </w:r>
      <w:r>
        <w:rPr>
          <w:i/>
        </w:rPr>
        <w:t>plus</w:t>
      </w:r>
      <w:r>
        <w:t xml:space="preserve"> catch-up contributions</w:t>
      </w:r>
      <w:r w:rsidR="00A95039">
        <w:fldChar w:fldCharType="begin"/>
      </w:r>
      <w:r w:rsidR="00500F1D">
        <w:instrText xml:space="preserve"> XE "</w:instrText>
      </w:r>
      <w:r w:rsidR="00500F1D" w:rsidRPr="00CD56BD">
        <w:rPr>
          <w:szCs w:val="22"/>
        </w:rPr>
        <w:instrText>catch-up contributions</w:instrText>
      </w:r>
      <w:r w:rsidR="00500F1D">
        <w:instrText xml:space="preserve">" </w:instrText>
      </w:r>
      <w:r w:rsidR="00A95039">
        <w:fldChar w:fldCharType="end"/>
      </w:r>
      <w:r>
        <w:t xml:space="preserve"> not exceeding $</w:t>
      </w:r>
      <w:r w:rsidR="002B7633">
        <w:t>3,000</w:t>
      </w:r>
      <w:r>
        <w:t>—a total of $1</w:t>
      </w:r>
      <w:r w:rsidR="002B7633">
        <w:t>5</w:t>
      </w:r>
      <w:r>
        <w:t>,</w:t>
      </w:r>
      <w:r w:rsidR="0072426B">
        <w:t>5</w:t>
      </w:r>
      <w:r>
        <w:t>00.</w:t>
      </w:r>
    </w:p>
    <w:p w14:paraId="69E97178" w14:textId="77777777" w:rsidR="00FF477D" w:rsidRDefault="00FF477D" w:rsidP="00B07592">
      <w:pPr>
        <w:pStyle w:val="Heading1"/>
      </w:pPr>
      <w:r>
        <w:br w:type="page"/>
      </w:r>
      <w:bookmarkStart w:id="206" w:name="_Toc404357265"/>
      <w:r w:rsidR="00B07592">
        <w:lastRenderedPageBreak/>
        <w:t>Index</w:t>
      </w:r>
      <w:bookmarkEnd w:id="206"/>
    </w:p>
    <w:p w14:paraId="3BB2F936" w14:textId="77777777" w:rsidR="00B07592" w:rsidRDefault="00B07592" w:rsidP="00763036">
      <w:pPr>
        <w:sectPr w:rsidR="00B07592" w:rsidSect="00B9538F">
          <w:pgSz w:w="12240" w:h="15840"/>
          <w:pgMar w:top="2160" w:right="1440" w:bottom="1440" w:left="1800" w:header="720" w:footer="720" w:gutter="0"/>
          <w:cols w:space="720"/>
          <w:titlePg/>
          <w:docGrid w:linePitch="299"/>
        </w:sectPr>
      </w:pPr>
    </w:p>
    <w:p w14:paraId="5C0F66AE" w14:textId="77777777" w:rsidR="00B07592" w:rsidRDefault="00B07592" w:rsidP="00763036">
      <w:pPr>
        <w:sectPr w:rsidR="00B07592" w:rsidSect="00B07592">
          <w:type w:val="continuous"/>
          <w:pgSz w:w="12240" w:h="15840"/>
          <w:pgMar w:top="2160" w:right="1440" w:bottom="1440" w:left="1800" w:header="720" w:footer="720" w:gutter="0"/>
          <w:cols w:space="720"/>
          <w:titlePg/>
          <w:docGrid w:linePitch="299"/>
        </w:sectPr>
      </w:pPr>
    </w:p>
    <w:p w14:paraId="55E307C9" w14:textId="77777777" w:rsidR="00E10CC5" w:rsidRDefault="00E10CC5" w:rsidP="00763036">
      <w:pPr>
        <w:sectPr w:rsidR="00E10CC5" w:rsidSect="00B07592">
          <w:type w:val="continuous"/>
          <w:pgSz w:w="12240" w:h="15840"/>
          <w:pgMar w:top="2160" w:right="1440" w:bottom="1440" w:left="1800" w:header="720" w:footer="720" w:gutter="0"/>
          <w:cols w:space="720"/>
          <w:titlePg/>
          <w:docGrid w:linePitch="299"/>
        </w:sectPr>
      </w:pPr>
    </w:p>
    <w:p w14:paraId="01AE9D6A" w14:textId="77777777" w:rsidR="00A367ED" w:rsidRDefault="00A95039" w:rsidP="00763036">
      <w:pPr>
        <w:rPr>
          <w:noProof/>
        </w:rPr>
        <w:sectPr w:rsidR="00A367ED" w:rsidSect="00A367ED">
          <w:type w:val="continuous"/>
          <w:pgSz w:w="12240" w:h="15840"/>
          <w:pgMar w:top="2160" w:right="1440" w:bottom="1440" w:left="1800" w:header="720" w:footer="720" w:gutter="0"/>
          <w:cols w:space="720"/>
          <w:titlePg/>
          <w:docGrid w:linePitch="299"/>
        </w:sectPr>
      </w:pPr>
      <w:r>
        <w:fldChar w:fldCharType="begin"/>
      </w:r>
      <w:r w:rsidR="00A367ED">
        <w:instrText xml:space="preserve"> INDEX \c "2" \z "1033" </w:instrText>
      </w:r>
      <w:r>
        <w:fldChar w:fldCharType="separate"/>
      </w:r>
    </w:p>
    <w:p w14:paraId="22D9947F" w14:textId="77777777" w:rsidR="00A367ED" w:rsidRDefault="00A367ED">
      <w:pPr>
        <w:pStyle w:val="Index1"/>
        <w:tabs>
          <w:tab w:val="right" w:leader="dot" w:pos="4130"/>
        </w:tabs>
        <w:rPr>
          <w:noProof/>
        </w:rPr>
      </w:pPr>
      <w:r>
        <w:rPr>
          <w:noProof/>
        </w:rPr>
        <w:t>60-day rule, 4, 19</w:t>
      </w:r>
    </w:p>
    <w:p w14:paraId="10228D54" w14:textId="77777777" w:rsidR="00A367ED" w:rsidRDefault="00A367ED">
      <w:pPr>
        <w:pStyle w:val="Index1"/>
        <w:tabs>
          <w:tab w:val="right" w:leader="dot" w:pos="4130"/>
        </w:tabs>
        <w:rPr>
          <w:noProof/>
        </w:rPr>
      </w:pPr>
      <w:r>
        <w:rPr>
          <w:noProof/>
        </w:rPr>
        <w:t>Accumulation phase, 42</w:t>
      </w:r>
    </w:p>
    <w:p w14:paraId="18949B0C" w14:textId="77777777" w:rsidR="00A367ED" w:rsidRDefault="00A367ED">
      <w:pPr>
        <w:pStyle w:val="Index1"/>
        <w:tabs>
          <w:tab w:val="right" w:leader="dot" w:pos="4130"/>
        </w:tabs>
        <w:rPr>
          <w:noProof/>
        </w:rPr>
      </w:pPr>
      <w:r>
        <w:rPr>
          <w:noProof/>
        </w:rPr>
        <w:t>Active participant, 8, 9, 10, 11, 12, 13, 30, 31, 56, 60, 72, 77, 78, 86</w:t>
      </w:r>
    </w:p>
    <w:p w14:paraId="180CD26F" w14:textId="77777777" w:rsidR="00A367ED" w:rsidRDefault="00A367ED">
      <w:pPr>
        <w:pStyle w:val="Index1"/>
        <w:tabs>
          <w:tab w:val="right" w:leader="dot" w:pos="4130"/>
        </w:tabs>
        <w:rPr>
          <w:noProof/>
        </w:rPr>
      </w:pPr>
      <w:r>
        <w:rPr>
          <w:noProof/>
        </w:rPr>
        <w:t>Adjusted gross income, 3, 8, 9, 10, 11, 12, 13, 29, 30, 31, 35, 36, 47, 48, 51, 56, 60, 67, 74, 75, 77, 78, 81, 84, 86</w:t>
      </w:r>
    </w:p>
    <w:p w14:paraId="3EF1B335" w14:textId="77777777" w:rsidR="00A367ED" w:rsidRDefault="00A367ED">
      <w:pPr>
        <w:pStyle w:val="Index1"/>
        <w:tabs>
          <w:tab w:val="right" w:leader="dot" w:pos="4130"/>
        </w:tabs>
        <w:rPr>
          <w:noProof/>
        </w:rPr>
      </w:pPr>
      <w:r>
        <w:rPr>
          <w:noProof/>
        </w:rPr>
        <w:t>Age 59½, 4, 18, 21, 25, 28, 36, 41, 52, 57, 58, 60, 63, 67, 70, 74, 79, 83</w:t>
      </w:r>
    </w:p>
    <w:p w14:paraId="5974CBA6" w14:textId="77777777" w:rsidR="00A367ED" w:rsidRDefault="00A367ED">
      <w:pPr>
        <w:pStyle w:val="Index1"/>
        <w:tabs>
          <w:tab w:val="right" w:leader="dot" w:pos="4130"/>
        </w:tabs>
        <w:rPr>
          <w:noProof/>
        </w:rPr>
      </w:pPr>
      <w:r>
        <w:rPr>
          <w:noProof/>
        </w:rPr>
        <w:t>Age 70½, 3, 4, 5, 19, 22, 23, 24, 25, 28, 31, 35, 41, 52, 58, 60, 63, 68, 74, 75</w:t>
      </w:r>
    </w:p>
    <w:p w14:paraId="70B57F83" w14:textId="77777777" w:rsidR="00A367ED" w:rsidRDefault="00A367ED">
      <w:pPr>
        <w:pStyle w:val="Index1"/>
        <w:tabs>
          <w:tab w:val="right" w:leader="dot" w:pos="4130"/>
        </w:tabs>
        <w:rPr>
          <w:noProof/>
        </w:rPr>
      </w:pPr>
      <w:r>
        <w:rPr>
          <w:noProof/>
        </w:rPr>
        <w:t>Alimony, 6, 72</w:t>
      </w:r>
    </w:p>
    <w:p w14:paraId="7DE9A71E" w14:textId="77777777" w:rsidR="00A367ED" w:rsidRDefault="00A367ED">
      <w:pPr>
        <w:pStyle w:val="Index1"/>
        <w:tabs>
          <w:tab w:val="right" w:leader="dot" w:pos="4130"/>
        </w:tabs>
        <w:rPr>
          <w:noProof/>
        </w:rPr>
      </w:pPr>
      <w:r>
        <w:rPr>
          <w:noProof/>
        </w:rPr>
        <w:t>Annuities, 4, 39, 41, 43, 44, 84</w:t>
      </w:r>
    </w:p>
    <w:p w14:paraId="07BD24B6" w14:textId="77777777" w:rsidR="00A367ED" w:rsidRDefault="00A367ED">
      <w:pPr>
        <w:pStyle w:val="Index1"/>
        <w:tabs>
          <w:tab w:val="right" w:leader="dot" w:pos="4130"/>
        </w:tabs>
        <w:rPr>
          <w:noProof/>
        </w:rPr>
      </w:pPr>
      <w:r>
        <w:rPr>
          <w:noProof/>
        </w:rPr>
        <w:t>Annuity death benefit, 41, 42</w:t>
      </w:r>
    </w:p>
    <w:p w14:paraId="7E360280" w14:textId="77777777" w:rsidR="00A367ED" w:rsidRDefault="00A367ED">
      <w:pPr>
        <w:pStyle w:val="Index1"/>
        <w:tabs>
          <w:tab w:val="right" w:leader="dot" w:pos="4130"/>
        </w:tabs>
        <w:rPr>
          <w:noProof/>
        </w:rPr>
      </w:pPr>
      <w:r>
        <w:rPr>
          <w:noProof/>
        </w:rPr>
        <w:t>Applicable dollar amount, 9, 10, 11, 13, 30, 36, 56, 60, 78, 81, 82, 86</w:t>
      </w:r>
    </w:p>
    <w:p w14:paraId="790AE507" w14:textId="77777777" w:rsidR="00A367ED" w:rsidRDefault="00A367ED">
      <w:pPr>
        <w:pStyle w:val="Index1"/>
        <w:tabs>
          <w:tab w:val="right" w:leader="dot" w:pos="4130"/>
        </w:tabs>
        <w:rPr>
          <w:noProof/>
        </w:rPr>
      </w:pPr>
      <w:r>
        <w:rPr>
          <w:noProof/>
        </w:rPr>
        <w:t>Capital gains, 6, 22, 40, 44, 57</w:t>
      </w:r>
    </w:p>
    <w:p w14:paraId="3201398D" w14:textId="77777777" w:rsidR="00A367ED" w:rsidRDefault="00A367ED">
      <w:pPr>
        <w:pStyle w:val="Index1"/>
        <w:tabs>
          <w:tab w:val="right" w:leader="dot" w:pos="4130"/>
        </w:tabs>
        <w:rPr>
          <w:noProof/>
        </w:rPr>
      </w:pPr>
      <w:r>
        <w:rPr>
          <w:noProof/>
        </w:rPr>
        <w:t>Catch-up contributions, 7, 12, 56, 65, 73, 89</w:t>
      </w:r>
    </w:p>
    <w:p w14:paraId="7409A15F" w14:textId="77777777" w:rsidR="00A367ED" w:rsidRDefault="00A367ED">
      <w:pPr>
        <w:pStyle w:val="Index1"/>
        <w:tabs>
          <w:tab w:val="right" w:leader="dot" w:pos="4130"/>
        </w:tabs>
        <w:rPr>
          <w:noProof/>
        </w:rPr>
      </w:pPr>
      <w:r>
        <w:rPr>
          <w:noProof/>
        </w:rPr>
        <w:t>Collectibles prohibited in IRAs, 40, 74</w:t>
      </w:r>
    </w:p>
    <w:p w14:paraId="3080C0D5" w14:textId="77777777" w:rsidR="00A367ED" w:rsidRDefault="00A367ED">
      <w:pPr>
        <w:pStyle w:val="Index1"/>
        <w:tabs>
          <w:tab w:val="right" w:leader="dot" w:pos="4130"/>
        </w:tabs>
        <w:rPr>
          <w:noProof/>
        </w:rPr>
      </w:pPr>
      <w:r>
        <w:rPr>
          <w:noProof/>
        </w:rPr>
        <w:t>Contribution limits, 6, 7, 46, 72</w:t>
      </w:r>
    </w:p>
    <w:p w14:paraId="56728704" w14:textId="77777777" w:rsidR="00A367ED" w:rsidRDefault="00A367ED">
      <w:pPr>
        <w:pStyle w:val="Index1"/>
        <w:tabs>
          <w:tab w:val="right" w:leader="dot" w:pos="4130"/>
        </w:tabs>
        <w:rPr>
          <w:noProof/>
        </w:rPr>
      </w:pPr>
      <w:r>
        <w:rPr>
          <w:noProof/>
        </w:rPr>
        <w:t>Coverdell Education Savings Account, 1, 47, 51, 72, 74</w:t>
      </w:r>
    </w:p>
    <w:p w14:paraId="02B283EA" w14:textId="77777777" w:rsidR="00A367ED" w:rsidRDefault="00A367ED">
      <w:pPr>
        <w:pStyle w:val="Index1"/>
        <w:tabs>
          <w:tab w:val="right" w:leader="dot" w:pos="4130"/>
        </w:tabs>
        <w:rPr>
          <w:noProof/>
        </w:rPr>
      </w:pPr>
      <w:r>
        <w:rPr>
          <w:noProof/>
        </w:rPr>
        <w:t>Custodial fees, 40</w:t>
      </w:r>
    </w:p>
    <w:p w14:paraId="157B6B39" w14:textId="77777777" w:rsidR="00A367ED" w:rsidRDefault="00A367ED">
      <w:pPr>
        <w:pStyle w:val="Index1"/>
        <w:tabs>
          <w:tab w:val="right" w:leader="dot" w:pos="4130"/>
        </w:tabs>
        <w:rPr>
          <w:noProof/>
        </w:rPr>
      </w:pPr>
      <w:r>
        <w:rPr>
          <w:noProof/>
        </w:rPr>
        <w:t>Death, 21, 24, 25, 29, 32, 34, 35, 36, 41, 42, 58, 68, 74, 81, 84</w:t>
      </w:r>
    </w:p>
    <w:p w14:paraId="3ACD1A90" w14:textId="77777777" w:rsidR="00A367ED" w:rsidRDefault="00A367ED">
      <w:pPr>
        <w:pStyle w:val="Index1"/>
        <w:tabs>
          <w:tab w:val="right" w:leader="dot" w:pos="4130"/>
        </w:tabs>
        <w:rPr>
          <w:noProof/>
        </w:rPr>
      </w:pPr>
      <w:r>
        <w:rPr>
          <w:noProof/>
        </w:rPr>
        <w:t>Disability, 21, 34, 36, 58, 68</w:t>
      </w:r>
    </w:p>
    <w:p w14:paraId="6980E146" w14:textId="77777777" w:rsidR="00A367ED" w:rsidRDefault="00A367ED">
      <w:pPr>
        <w:pStyle w:val="Index1"/>
        <w:tabs>
          <w:tab w:val="right" w:leader="dot" w:pos="4130"/>
        </w:tabs>
        <w:rPr>
          <w:noProof/>
        </w:rPr>
      </w:pPr>
      <w:r>
        <w:rPr>
          <w:noProof/>
        </w:rPr>
        <w:t>Dividends, 6, 40</w:t>
      </w:r>
    </w:p>
    <w:p w14:paraId="104F27E7" w14:textId="77777777" w:rsidR="00A367ED" w:rsidRDefault="00A367ED">
      <w:pPr>
        <w:pStyle w:val="Index1"/>
        <w:tabs>
          <w:tab w:val="right" w:leader="dot" w:pos="4130"/>
        </w:tabs>
        <w:rPr>
          <w:noProof/>
        </w:rPr>
      </w:pPr>
      <w:r>
        <w:rPr>
          <w:noProof/>
        </w:rPr>
        <w:t>Earned income, 3, 5, 6, 12, 14, 25, 31, 64, 72, 76, 77</w:t>
      </w:r>
    </w:p>
    <w:p w14:paraId="47BA8ADB" w14:textId="77777777" w:rsidR="00A367ED" w:rsidRDefault="00A367ED">
      <w:pPr>
        <w:pStyle w:val="Index1"/>
        <w:tabs>
          <w:tab w:val="right" w:leader="dot" w:pos="4130"/>
        </w:tabs>
        <w:rPr>
          <w:noProof/>
        </w:rPr>
      </w:pPr>
      <w:r>
        <w:rPr>
          <w:noProof/>
        </w:rPr>
        <w:t>Economic Growth and Tax Relief Reconciliation Act of 2001, 3, 4, 7, 19, 72, 77, 79, 93</w:t>
      </w:r>
    </w:p>
    <w:p w14:paraId="5A6DC767" w14:textId="77777777" w:rsidR="00A367ED" w:rsidRDefault="00A367ED">
      <w:pPr>
        <w:pStyle w:val="Index1"/>
        <w:tabs>
          <w:tab w:val="right" w:leader="dot" w:pos="4130"/>
        </w:tabs>
        <w:rPr>
          <w:noProof/>
        </w:rPr>
      </w:pPr>
      <w:r>
        <w:rPr>
          <w:noProof/>
        </w:rPr>
        <w:t>Eligible educational institution, 49, 72</w:t>
      </w:r>
    </w:p>
    <w:p w14:paraId="40879E13" w14:textId="77777777" w:rsidR="00A367ED" w:rsidRDefault="00A367ED">
      <w:pPr>
        <w:pStyle w:val="Index1"/>
        <w:tabs>
          <w:tab w:val="right" w:leader="dot" w:pos="4130"/>
        </w:tabs>
        <w:rPr>
          <w:noProof/>
        </w:rPr>
      </w:pPr>
      <w:r>
        <w:rPr>
          <w:noProof/>
        </w:rPr>
        <w:t>Employer-sponsored retirement plan, 3, 8, 9, 10, 12, 22, 72</w:t>
      </w:r>
    </w:p>
    <w:p w14:paraId="2DC808B5" w14:textId="77777777" w:rsidR="00A367ED" w:rsidRDefault="00A367ED">
      <w:pPr>
        <w:pStyle w:val="Index1"/>
        <w:tabs>
          <w:tab w:val="right" w:leader="dot" w:pos="4130"/>
        </w:tabs>
        <w:rPr>
          <w:noProof/>
        </w:rPr>
      </w:pPr>
      <w:r>
        <w:rPr>
          <w:noProof/>
        </w:rPr>
        <w:t>ERISA, 5, 12, 34</w:t>
      </w:r>
    </w:p>
    <w:p w14:paraId="6E02DE5E" w14:textId="77777777" w:rsidR="00A367ED" w:rsidRDefault="00A367ED">
      <w:pPr>
        <w:pStyle w:val="Index1"/>
        <w:tabs>
          <w:tab w:val="right" w:leader="dot" w:pos="4130"/>
        </w:tabs>
        <w:rPr>
          <w:noProof/>
        </w:rPr>
      </w:pPr>
      <w:r>
        <w:rPr>
          <w:noProof/>
        </w:rPr>
        <w:t>Failure to take a required minimum distribution, 23, 68</w:t>
      </w:r>
    </w:p>
    <w:p w14:paraId="7F19BB73" w14:textId="77777777" w:rsidR="00A367ED" w:rsidRDefault="00A367ED">
      <w:pPr>
        <w:pStyle w:val="Index1"/>
        <w:tabs>
          <w:tab w:val="right" w:leader="dot" w:pos="4130"/>
        </w:tabs>
        <w:rPr>
          <w:noProof/>
        </w:rPr>
      </w:pPr>
      <w:r>
        <w:rPr>
          <w:noProof/>
        </w:rPr>
        <w:t>FIFO tax treatment, 34, 44, 73, 82, 84</w:t>
      </w:r>
    </w:p>
    <w:p w14:paraId="19391BFF" w14:textId="77777777" w:rsidR="00A367ED" w:rsidRDefault="00A367ED">
      <w:pPr>
        <w:pStyle w:val="Index1"/>
        <w:tabs>
          <w:tab w:val="right" w:leader="dot" w:pos="4130"/>
        </w:tabs>
        <w:rPr>
          <w:noProof/>
        </w:rPr>
      </w:pPr>
      <w:r>
        <w:rPr>
          <w:noProof/>
        </w:rPr>
        <w:t>First-time homebuyer distributions, 21, 68</w:t>
      </w:r>
    </w:p>
    <w:p w14:paraId="3EF3CACC" w14:textId="77777777" w:rsidR="00A367ED" w:rsidRDefault="00A367ED">
      <w:pPr>
        <w:pStyle w:val="Index1"/>
        <w:tabs>
          <w:tab w:val="right" w:leader="dot" w:pos="4130"/>
        </w:tabs>
        <w:rPr>
          <w:noProof/>
        </w:rPr>
      </w:pPr>
      <w:r>
        <w:rPr>
          <w:noProof/>
        </w:rPr>
        <w:t>Five-year rule, 25, 36</w:t>
      </w:r>
    </w:p>
    <w:p w14:paraId="29B7C0B0" w14:textId="77777777" w:rsidR="00A367ED" w:rsidRDefault="00A367ED">
      <w:pPr>
        <w:pStyle w:val="Index1"/>
        <w:tabs>
          <w:tab w:val="right" w:leader="dot" w:pos="4130"/>
        </w:tabs>
        <w:rPr>
          <w:noProof/>
        </w:rPr>
      </w:pPr>
      <w:r>
        <w:rPr>
          <w:noProof/>
        </w:rPr>
        <w:t>Health insurance premiums, 21, 34, 58, 68</w:t>
      </w:r>
    </w:p>
    <w:p w14:paraId="0967EBD8" w14:textId="77777777" w:rsidR="00A367ED" w:rsidRDefault="00A367ED">
      <w:pPr>
        <w:pStyle w:val="Index1"/>
        <w:tabs>
          <w:tab w:val="right" w:leader="dot" w:pos="4130"/>
        </w:tabs>
        <w:rPr>
          <w:noProof/>
        </w:rPr>
      </w:pPr>
      <w:r>
        <w:rPr>
          <w:noProof/>
        </w:rPr>
        <w:t>Interest, 6, 14, 15, 19, 24, 25, 32, 33, 35, 36, 40, 41, 81</w:t>
      </w:r>
    </w:p>
    <w:p w14:paraId="72CF7104" w14:textId="77777777" w:rsidR="00A367ED" w:rsidRDefault="00A367ED">
      <w:pPr>
        <w:pStyle w:val="Index1"/>
        <w:tabs>
          <w:tab w:val="right" w:leader="dot" w:pos="4130"/>
        </w:tabs>
        <w:rPr>
          <w:noProof/>
        </w:rPr>
      </w:pPr>
      <w:r>
        <w:rPr>
          <w:noProof/>
        </w:rPr>
        <w:t>Life expectancy rule, 24, 35</w:t>
      </w:r>
    </w:p>
    <w:p w14:paraId="1B2FA576" w14:textId="77777777" w:rsidR="00A367ED" w:rsidRDefault="00A367ED">
      <w:pPr>
        <w:pStyle w:val="Index1"/>
        <w:tabs>
          <w:tab w:val="right" w:leader="dot" w:pos="4130"/>
        </w:tabs>
        <w:rPr>
          <w:noProof/>
        </w:rPr>
      </w:pPr>
      <w:r>
        <w:rPr>
          <w:noProof/>
        </w:rPr>
        <w:t>Lifetime income, 42</w:t>
      </w:r>
    </w:p>
    <w:p w14:paraId="0DEB4EDA" w14:textId="77777777" w:rsidR="00A367ED" w:rsidRDefault="00A367ED">
      <w:pPr>
        <w:pStyle w:val="Index1"/>
        <w:tabs>
          <w:tab w:val="right" w:leader="dot" w:pos="4130"/>
        </w:tabs>
        <w:rPr>
          <w:noProof/>
        </w:rPr>
      </w:pPr>
      <w:r>
        <w:rPr>
          <w:noProof/>
        </w:rPr>
        <w:t>Lifetime Learning Credit., 49</w:t>
      </w:r>
    </w:p>
    <w:p w14:paraId="173CB067" w14:textId="77777777" w:rsidR="00A367ED" w:rsidRDefault="00A367ED">
      <w:pPr>
        <w:pStyle w:val="Index1"/>
        <w:tabs>
          <w:tab w:val="right" w:leader="dot" w:pos="4130"/>
        </w:tabs>
        <w:rPr>
          <w:noProof/>
        </w:rPr>
      </w:pPr>
      <w:r>
        <w:rPr>
          <w:noProof/>
        </w:rPr>
        <w:t>Mandatory withholding, 18, 20, 69, 78</w:t>
      </w:r>
    </w:p>
    <w:p w14:paraId="0E482388" w14:textId="77777777" w:rsidR="00A367ED" w:rsidRDefault="00A367ED">
      <w:pPr>
        <w:pStyle w:val="Index1"/>
        <w:tabs>
          <w:tab w:val="right" w:leader="dot" w:pos="4130"/>
        </w:tabs>
        <w:rPr>
          <w:noProof/>
        </w:rPr>
      </w:pPr>
      <w:r>
        <w:rPr>
          <w:noProof/>
        </w:rPr>
        <w:t>Medical care, 21, 34, 58, 68</w:t>
      </w:r>
    </w:p>
    <w:p w14:paraId="0087D028" w14:textId="77777777" w:rsidR="00A367ED" w:rsidRDefault="00A367ED">
      <w:pPr>
        <w:pStyle w:val="Index1"/>
        <w:tabs>
          <w:tab w:val="right" w:leader="dot" w:pos="4130"/>
        </w:tabs>
        <w:rPr>
          <w:noProof/>
        </w:rPr>
      </w:pPr>
      <w:r>
        <w:rPr>
          <w:noProof/>
        </w:rPr>
        <w:t>Non-deductible IRA contributions, 4, 5, 21, 57</w:t>
      </w:r>
    </w:p>
    <w:p w14:paraId="75494766" w14:textId="77777777" w:rsidR="00A367ED" w:rsidRDefault="00A367ED">
      <w:pPr>
        <w:pStyle w:val="Index1"/>
        <w:tabs>
          <w:tab w:val="right" w:leader="dot" w:pos="4130"/>
        </w:tabs>
        <w:rPr>
          <w:noProof/>
        </w:rPr>
      </w:pPr>
      <w:r>
        <w:rPr>
          <w:noProof/>
        </w:rPr>
        <w:lastRenderedPageBreak/>
        <w:t>Nonrefundable tax credit, 11, 12, 63, 67</w:t>
      </w:r>
    </w:p>
    <w:p w14:paraId="17450F17" w14:textId="77777777" w:rsidR="00A367ED" w:rsidRDefault="00A367ED">
      <w:pPr>
        <w:pStyle w:val="Index1"/>
        <w:tabs>
          <w:tab w:val="right" w:leader="dot" w:pos="4130"/>
        </w:tabs>
        <w:rPr>
          <w:noProof/>
        </w:rPr>
      </w:pPr>
      <w:r w:rsidRPr="00A367ED">
        <w:rPr>
          <w:noProof/>
        </w:rPr>
        <w:t xml:space="preserve">Non-tax benefits </w:t>
      </w:r>
      <w:r>
        <w:rPr>
          <w:noProof/>
        </w:rPr>
        <w:t>of an annuity, 41, 84</w:t>
      </w:r>
    </w:p>
    <w:p w14:paraId="4F60AE1C" w14:textId="77777777" w:rsidR="00A367ED" w:rsidRDefault="00A367ED">
      <w:pPr>
        <w:pStyle w:val="Index1"/>
        <w:tabs>
          <w:tab w:val="right" w:leader="dot" w:pos="4130"/>
        </w:tabs>
        <w:rPr>
          <w:noProof/>
        </w:rPr>
      </w:pPr>
      <w:r>
        <w:rPr>
          <w:noProof/>
        </w:rPr>
        <w:t>Non-working spouse of an active participant, 10</w:t>
      </w:r>
    </w:p>
    <w:p w14:paraId="4B045052" w14:textId="77777777" w:rsidR="00A367ED" w:rsidRDefault="00A367ED">
      <w:pPr>
        <w:pStyle w:val="Index1"/>
        <w:tabs>
          <w:tab w:val="right" w:leader="dot" w:pos="4130"/>
        </w:tabs>
        <w:rPr>
          <w:noProof/>
        </w:rPr>
      </w:pPr>
      <w:r>
        <w:rPr>
          <w:noProof/>
        </w:rPr>
        <w:t>Ordinary income, 4, 21, 22, 25, 28, 40, 52, 57, 60, 63, 67, 70, 87</w:t>
      </w:r>
    </w:p>
    <w:p w14:paraId="7F8A460F" w14:textId="77777777" w:rsidR="00A367ED" w:rsidRDefault="00A367ED">
      <w:pPr>
        <w:pStyle w:val="Index1"/>
        <w:tabs>
          <w:tab w:val="right" w:leader="dot" w:pos="4130"/>
        </w:tabs>
        <w:rPr>
          <w:noProof/>
        </w:rPr>
      </w:pPr>
      <w:r>
        <w:rPr>
          <w:noProof/>
        </w:rPr>
        <w:t>Premature distributions, 21, 57, 67, 74, 88</w:t>
      </w:r>
    </w:p>
    <w:p w14:paraId="76AE9958" w14:textId="77777777" w:rsidR="00A367ED" w:rsidRDefault="00A367ED">
      <w:pPr>
        <w:pStyle w:val="Index1"/>
        <w:tabs>
          <w:tab w:val="right" w:leader="dot" w:pos="4130"/>
        </w:tabs>
        <w:rPr>
          <w:noProof/>
        </w:rPr>
      </w:pPr>
      <w:r>
        <w:rPr>
          <w:noProof/>
        </w:rPr>
        <w:t>Premature withdrawal penalties, 7, 18, 28, 79</w:t>
      </w:r>
    </w:p>
    <w:p w14:paraId="233DB464" w14:textId="77777777" w:rsidR="00A367ED" w:rsidRDefault="00A367ED">
      <w:pPr>
        <w:pStyle w:val="Index1"/>
        <w:tabs>
          <w:tab w:val="right" w:leader="dot" w:pos="4130"/>
        </w:tabs>
        <w:rPr>
          <w:noProof/>
        </w:rPr>
      </w:pPr>
      <w:r>
        <w:rPr>
          <w:noProof/>
        </w:rPr>
        <w:t>Qualified distribution, 29, 32, 33, 34, 36, 73, 74, 82, 83</w:t>
      </w:r>
    </w:p>
    <w:p w14:paraId="113E17B4" w14:textId="77777777" w:rsidR="00A367ED" w:rsidRDefault="00A367ED">
      <w:pPr>
        <w:pStyle w:val="Index1"/>
        <w:tabs>
          <w:tab w:val="right" w:leader="dot" w:pos="4130"/>
        </w:tabs>
        <w:rPr>
          <w:noProof/>
        </w:rPr>
      </w:pPr>
      <w:r>
        <w:rPr>
          <w:noProof/>
        </w:rPr>
        <w:t>Qualified education expenses, 46, 47, 49, 50, 51, 72, 75, 85, 86</w:t>
      </w:r>
    </w:p>
    <w:p w14:paraId="162010C9" w14:textId="77777777" w:rsidR="00A367ED" w:rsidRDefault="00A367ED">
      <w:pPr>
        <w:pStyle w:val="Index1"/>
        <w:tabs>
          <w:tab w:val="right" w:leader="dot" w:pos="4130"/>
        </w:tabs>
        <w:rPr>
          <w:noProof/>
        </w:rPr>
      </w:pPr>
      <w:r>
        <w:rPr>
          <w:noProof/>
        </w:rPr>
        <w:t>Qualified plan participants, 5</w:t>
      </w:r>
    </w:p>
    <w:p w14:paraId="6730B1EE" w14:textId="77777777" w:rsidR="00A367ED" w:rsidRDefault="00A367ED">
      <w:pPr>
        <w:pStyle w:val="Index1"/>
        <w:tabs>
          <w:tab w:val="right" w:leader="dot" w:pos="4130"/>
        </w:tabs>
        <w:rPr>
          <w:noProof/>
        </w:rPr>
      </w:pPr>
      <w:r>
        <w:rPr>
          <w:noProof/>
        </w:rPr>
        <w:t>Required beginning date, 22, 23, 24, 25, 35, 58, 68, 75, 81</w:t>
      </w:r>
    </w:p>
    <w:p w14:paraId="5226D92B" w14:textId="77777777" w:rsidR="00A367ED" w:rsidRDefault="00A367ED">
      <w:pPr>
        <w:pStyle w:val="Index1"/>
        <w:tabs>
          <w:tab w:val="right" w:leader="dot" w:pos="4130"/>
        </w:tabs>
        <w:rPr>
          <w:noProof/>
        </w:rPr>
      </w:pPr>
      <w:r>
        <w:rPr>
          <w:noProof/>
        </w:rPr>
        <w:t>Required distributions at death, 24</w:t>
      </w:r>
    </w:p>
    <w:p w14:paraId="37661B11" w14:textId="77777777" w:rsidR="00A367ED" w:rsidRDefault="00A367ED">
      <w:pPr>
        <w:pStyle w:val="Index1"/>
        <w:tabs>
          <w:tab w:val="right" w:leader="dot" w:pos="4130"/>
        </w:tabs>
        <w:rPr>
          <w:noProof/>
        </w:rPr>
      </w:pPr>
      <w:r>
        <w:rPr>
          <w:noProof/>
        </w:rPr>
        <w:t>Required minimum distributions, 5, 22, 23, 29, 31, 58, 68, 78</w:t>
      </w:r>
    </w:p>
    <w:p w14:paraId="632929D9" w14:textId="77777777" w:rsidR="00A367ED" w:rsidRDefault="00A367ED">
      <w:pPr>
        <w:pStyle w:val="Index1"/>
        <w:tabs>
          <w:tab w:val="right" w:leader="dot" w:pos="4130"/>
        </w:tabs>
        <w:rPr>
          <w:noProof/>
        </w:rPr>
      </w:pPr>
      <w:r>
        <w:rPr>
          <w:noProof/>
        </w:rPr>
        <w:t>Return of basis, 21, 80, 81</w:t>
      </w:r>
    </w:p>
    <w:p w14:paraId="3D375F65" w14:textId="77777777" w:rsidR="00A367ED" w:rsidRDefault="00A367ED">
      <w:pPr>
        <w:pStyle w:val="Index1"/>
        <w:tabs>
          <w:tab w:val="right" w:leader="dot" w:pos="4130"/>
        </w:tabs>
        <w:rPr>
          <w:noProof/>
        </w:rPr>
      </w:pPr>
      <w:r>
        <w:rPr>
          <w:noProof/>
        </w:rPr>
        <w:t>Rollover, 4, 15, 17, 18, 19, 20, 50, 59, 69, 70, 73, 75, 76, 78, 79, 80</w:t>
      </w:r>
    </w:p>
    <w:p w14:paraId="10537F4F" w14:textId="77777777" w:rsidR="00A367ED" w:rsidRDefault="00A367ED">
      <w:pPr>
        <w:pStyle w:val="Index1"/>
        <w:tabs>
          <w:tab w:val="right" w:leader="dot" w:pos="4130"/>
        </w:tabs>
        <w:rPr>
          <w:noProof/>
        </w:rPr>
      </w:pPr>
      <w:r>
        <w:rPr>
          <w:noProof/>
        </w:rPr>
        <w:t>Rollovers of after-tax contributions, 19</w:t>
      </w:r>
    </w:p>
    <w:p w14:paraId="6E47B677" w14:textId="77777777" w:rsidR="00A367ED" w:rsidRDefault="00A367ED">
      <w:pPr>
        <w:pStyle w:val="Index1"/>
        <w:tabs>
          <w:tab w:val="right" w:leader="dot" w:pos="4130"/>
        </w:tabs>
        <w:rPr>
          <w:noProof/>
        </w:rPr>
      </w:pPr>
      <w:r>
        <w:rPr>
          <w:noProof/>
        </w:rPr>
        <w:t>Roth IRA, ii, 1, 5, 6, 11, 12, 16, 17, 22, 28, 29, 30, 31, 32, 33, 34, 35, 36, 37, 57, 59, 60, 64, 73, 74, 75, 81, 82, 83</w:t>
      </w:r>
    </w:p>
    <w:p w14:paraId="502FD8FC" w14:textId="77777777" w:rsidR="00A367ED" w:rsidRDefault="00A367ED">
      <w:pPr>
        <w:pStyle w:val="Index1"/>
        <w:tabs>
          <w:tab w:val="right" w:leader="dot" w:pos="4130"/>
        </w:tabs>
        <w:rPr>
          <w:noProof/>
        </w:rPr>
      </w:pPr>
      <w:r>
        <w:rPr>
          <w:noProof/>
        </w:rPr>
        <w:t>Roth IRAs, 1, 3, 4, 5, 6, 11, 28, 29, 31, 34, 36, 40, 43, 48, 52, 54, 73, 75, 82, 84</w:t>
      </w:r>
    </w:p>
    <w:p w14:paraId="56A408CC" w14:textId="77777777" w:rsidR="00A367ED" w:rsidRDefault="00A367ED">
      <w:pPr>
        <w:pStyle w:val="Index1"/>
        <w:tabs>
          <w:tab w:val="right" w:leader="dot" w:pos="4130"/>
        </w:tabs>
        <w:rPr>
          <w:noProof/>
        </w:rPr>
      </w:pPr>
      <w:r>
        <w:rPr>
          <w:noProof/>
        </w:rPr>
        <w:t>Salary reduction arrangement, 65, 72</w:t>
      </w:r>
    </w:p>
    <w:p w14:paraId="6DF25E5C" w14:textId="77777777" w:rsidR="00A367ED" w:rsidRDefault="00A367ED">
      <w:pPr>
        <w:pStyle w:val="Index1"/>
        <w:tabs>
          <w:tab w:val="right" w:leader="dot" w:pos="4130"/>
        </w:tabs>
        <w:rPr>
          <w:noProof/>
        </w:rPr>
      </w:pPr>
      <w:r>
        <w:rPr>
          <w:noProof/>
        </w:rPr>
        <w:t>Salary reduction SEP, 54</w:t>
      </w:r>
    </w:p>
    <w:p w14:paraId="061AF0FA" w14:textId="77777777" w:rsidR="00A367ED" w:rsidRDefault="00A367ED">
      <w:pPr>
        <w:pStyle w:val="Index1"/>
        <w:tabs>
          <w:tab w:val="right" w:leader="dot" w:pos="4130"/>
        </w:tabs>
        <w:rPr>
          <w:noProof/>
        </w:rPr>
      </w:pPr>
      <w:r w:rsidRPr="00561E0F">
        <w:rPr>
          <w:noProof/>
          <w:u w:val="single"/>
        </w:rPr>
        <w:t>S</w:t>
      </w:r>
      <w:r>
        <w:rPr>
          <w:noProof/>
        </w:rPr>
        <w:t xml:space="preserve">avings </w:t>
      </w:r>
      <w:r w:rsidRPr="00561E0F">
        <w:rPr>
          <w:noProof/>
          <w:u w:val="single"/>
        </w:rPr>
        <w:t>I</w:t>
      </w:r>
      <w:r>
        <w:rPr>
          <w:noProof/>
        </w:rPr>
        <w:t xml:space="preserve">ncentive </w:t>
      </w:r>
      <w:r w:rsidRPr="00561E0F">
        <w:rPr>
          <w:noProof/>
          <w:u w:val="single"/>
        </w:rPr>
        <w:t>M</w:t>
      </w:r>
      <w:r>
        <w:rPr>
          <w:noProof/>
        </w:rPr>
        <w:t xml:space="preserve">atch </w:t>
      </w:r>
      <w:r w:rsidRPr="00561E0F">
        <w:rPr>
          <w:noProof/>
          <w:u w:val="single"/>
        </w:rPr>
        <w:t>Pl</w:t>
      </w:r>
      <w:r>
        <w:rPr>
          <w:noProof/>
        </w:rPr>
        <w:t xml:space="preserve">an for </w:t>
      </w:r>
      <w:r w:rsidRPr="00561E0F">
        <w:rPr>
          <w:noProof/>
          <w:u w:val="single"/>
        </w:rPr>
        <w:t>E</w:t>
      </w:r>
      <w:r>
        <w:rPr>
          <w:noProof/>
        </w:rPr>
        <w:t>mployees, 64, 75</w:t>
      </w:r>
    </w:p>
    <w:p w14:paraId="529B5C8B" w14:textId="77777777" w:rsidR="00A367ED" w:rsidRDefault="00A367ED">
      <w:pPr>
        <w:pStyle w:val="Index1"/>
        <w:tabs>
          <w:tab w:val="right" w:leader="dot" w:pos="4130"/>
        </w:tabs>
        <w:rPr>
          <w:noProof/>
        </w:rPr>
      </w:pPr>
      <w:r>
        <w:rPr>
          <w:noProof/>
        </w:rPr>
        <w:t>SEP employee deductible or non-deductible contributions, 56</w:t>
      </w:r>
    </w:p>
    <w:p w14:paraId="2D3A2367" w14:textId="77777777" w:rsidR="00A367ED" w:rsidRDefault="00A367ED">
      <w:pPr>
        <w:pStyle w:val="Index1"/>
        <w:tabs>
          <w:tab w:val="right" w:leader="dot" w:pos="4130"/>
        </w:tabs>
        <w:rPr>
          <w:noProof/>
        </w:rPr>
      </w:pPr>
      <w:r>
        <w:rPr>
          <w:noProof/>
        </w:rPr>
        <w:t>SEP integration, 55</w:t>
      </w:r>
    </w:p>
    <w:p w14:paraId="2A6CF744" w14:textId="77777777" w:rsidR="00A367ED" w:rsidRDefault="00A367ED">
      <w:pPr>
        <w:pStyle w:val="Index1"/>
        <w:tabs>
          <w:tab w:val="right" w:leader="dot" w:pos="4130"/>
        </w:tabs>
        <w:rPr>
          <w:noProof/>
        </w:rPr>
      </w:pPr>
      <w:r>
        <w:rPr>
          <w:noProof/>
        </w:rPr>
        <w:t>Series of substantially equal periodic payments, 21, 34, 58, 68</w:t>
      </w:r>
    </w:p>
    <w:p w14:paraId="3156C52B" w14:textId="77777777" w:rsidR="00A367ED" w:rsidRDefault="00A367ED">
      <w:pPr>
        <w:pStyle w:val="Index1"/>
        <w:tabs>
          <w:tab w:val="right" w:leader="dot" w:pos="4130"/>
        </w:tabs>
        <w:rPr>
          <w:noProof/>
        </w:rPr>
      </w:pPr>
      <w:r>
        <w:rPr>
          <w:noProof/>
        </w:rPr>
        <w:t>SIMPLE employee elective contributions, 65, 72</w:t>
      </w:r>
    </w:p>
    <w:p w14:paraId="68D6D7D0" w14:textId="77777777" w:rsidR="00A367ED" w:rsidRDefault="00A367ED">
      <w:pPr>
        <w:pStyle w:val="Index1"/>
        <w:tabs>
          <w:tab w:val="right" w:leader="dot" w:pos="4130"/>
        </w:tabs>
        <w:rPr>
          <w:noProof/>
        </w:rPr>
      </w:pPr>
      <w:r>
        <w:rPr>
          <w:noProof/>
        </w:rPr>
        <w:t>SIMPLE employer matching contributions, 63, 65, 66, 70, 74</w:t>
      </w:r>
    </w:p>
    <w:p w14:paraId="1522348F" w14:textId="77777777" w:rsidR="00A367ED" w:rsidRDefault="00A367ED">
      <w:pPr>
        <w:pStyle w:val="Index1"/>
        <w:tabs>
          <w:tab w:val="right" w:leader="dot" w:pos="4130"/>
        </w:tabs>
        <w:rPr>
          <w:noProof/>
        </w:rPr>
      </w:pPr>
      <w:r>
        <w:rPr>
          <w:noProof/>
        </w:rPr>
        <w:t>SIMPLE employer nonelective contribution, 66, 74</w:t>
      </w:r>
    </w:p>
    <w:p w14:paraId="5C471E4D" w14:textId="77777777" w:rsidR="00A367ED" w:rsidRDefault="00A367ED">
      <w:pPr>
        <w:pStyle w:val="Index1"/>
        <w:tabs>
          <w:tab w:val="right" w:leader="dot" w:pos="4130"/>
        </w:tabs>
        <w:rPr>
          <w:noProof/>
        </w:rPr>
      </w:pPr>
      <w:r>
        <w:rPr>
          <w:noProof/>
        </w:rPr>
        <w:t>Simplified employee pension (SEP), 53, 64</w:t>
      </w:r>
    </w:p>
    <w:p w14:paraId="2F624D56" w14:textId="77777777" w:rsidR="00A367ED" w:rsidRDefault="00A367ED">
      <w:pPr>
        <w:pStyle w:val="Index1"/>
        <w:tabs>
          <w:tab w:val="right" w:leader="dot" w:pos="4130"/>
        </w:tabs>
        <w:rPr>
          <w:noProof/>
        </w:rPr>
      </w:pPr>
      <w:r>
        <w:rPr>
          <w:noProof/>
        </w:rPr>
        <w:t>Small employer, 63, 64, 76</w:t>
      </w:r>
    </w:p>
    <w:p w14:paraId="693D9C27" w14:textId="77777777" w:rsidR="00A367ED" w:rsidRDefault="00A367ED">
      <w:pPr>
        <w:pStyle w:val="Index1"/>
        <w:tabs>
          <w:tab w:val="right" w:leader="dot" w:pos="4130"/>
        </w:tabs>
        <w:rPr>
          <w:noProof/>
        </w:rPr>
      </w:pPr>
      <w:r w:rsidRPr="00A367ED">
        <w:rPr>
          <w:noProof/>
        </w:rPr>
        <w:t>Special needs beneficiary</w:t>
      </w:r>
      <w:r>
        <w:rPr>
          <w:noProof/>
        </w:rPr>
        <w:t>, 48, 50, 51, 76</w:t>
      </w:r>
    </w:p>
    <w:p w14:paraId="7B9C820B" w14:textId="77777777" w:rsidR="00A367ED" w:rsidRDefault="00A367ED">
      <w:pPr>
        <w:pStyle w:val="Index1"/>
        <w:tabs>
          <w:tab w:val="right" w:leader="dot" w:pos="4130"/>
        </w:tabs>
        <w:rPr>
          <w:noProof/>
        </w:rPr>
      </w:pPr>
      <w:r>
        <w:rPr>
          <w:noProof/>
        </w:rPr>
        <w:t>Spousal IRA, 5, 6, 76, 77</w:t>
      </w:r>
    </w:p>
    <w:p w14:paraId="3E35E631" w14:textId="77777777" w:rsidR="00A367ED" w:rsidRDefault="00A367ED">
      <w:pPr>
        <w:pStyle w:val="Index1"/>
        <w:tabs>
          <w:tab w:val="right" w:leader="dot" w:pos="4130"/>
        </w:tabs>
        <w:rPr>
          <w:noProof/>
        </w:rPr>
      </w:pPr>
      <w:r>
        <w:rPr>
          <w:noProof/>
        </w:rPr>
        <w:t>Suitability requirement (annuity), 42</w:t>
      </w:r>
    </w:p>
    <w:p w14:paraId="34CCCBEE" w14:textId="77777777" w:rsidR="00A367ED" w:rsidRDefault="00A367ED">
      <w:pPr>
        <w:pStyle w:val="Index1"/>
        <w:tabs>
          <w:tab w:val="right" w:leader="dot" w:pos="4130"/>
        </w:tabs>
        <w:rPr>
          <w:noProof/>
        </w:rPr>
      </w:pPr>
      <w:r>
        <w:rPr>
          <w:noProof/>
        </w:rPr>
        <w:t>Surviving spouse beneficiary, 24, 35</w:t>
      </w:r>
    </w:p>
    <w:p w14:paraId="2FB8330B" w14:textId="77777777" w:rsidR="00A367ED" w:rsidRDefault="00A367ED">
      <w:pPr>
        <w:pStyle w:val="Index1"/>
        <w:tabs>
          <w:tab w:val="right" w:leader="dot" w:pos="4130"/>
        </w:tabs>
        <w:rPr>
          <w:noProof/>
        </w:rPr>
      </w:pPr>
      <w:r>
        <w:rPr>
          <w:noProof/>
        </w:rPr>
        <w:t>Surviving spouse’s election, 25, 36</w:t>
      </w:r>
    </w:p>
    <w:p w14:paraId="488AEEB5" w14:textId="77777777" w:rsidR="00A367ED" w:rsidRDefault="00A367ED">
      <w:pPr>
        <w:pStyle w:val="Index1"/>
        <w:tabs>
          <w:tab w:val="right" w:leader="dot" w:pos="4130"/>
        </w:tabs>
        <w:rPr>
          <w:noProof/>
        </w:rPr>
      </w:pPr>
      <w:r>
        <w:rPr>
          <w:noProof/>
        </w:rPr>
        <w:t>Tax deduction, 5, 11, 13, 29, 36, 56, 77</w:t>
      </w:r>
    </w:p>
    <w:p w14:paraId="14F47B0F" w14:textId="77777777" w:rsidR="00A367ED" w:rsidRDefault="00A367ED">
      <w:pPr>
        <w:pStyle w:val="Index1"/>
        <w:tabs>
          <w:tab w:val="right" w:leader="dot" w:pos="4130"/>
        </w:tabs>
        <w:rPr>
          <w:noProof/>
        </w:rPr>
      </w:pPr>
      <w:r>
        <w:rPr>
          <w:noProof/>
        </w:rPr>
        <w:t>Tax deferral, 13, 48, 76</w:t>
      </w:r>
    </w:p>
    <w:p w14:paraId="0221B81C" w14:textId="77777777" w:rsidR="00A367ED" w:rsidRDefault="00A367ED">
      <w:pPr>
        <w:pStyle w:val="Index1"/>
        <w:tabs>
          <w:tab w:val="right" w:leader="dot" w:pos="4130"/>
        </w:tabs>
        <w:rPr>
          <w:noProof/>
        </w:rPr>
      </w:pPr>
      <w:r>
        <w:rPr>
          <w:noProof/>
        </w:rPr>
        <w:t>Traditional IRA, 3, 4, 5, 6, 8, 9, 10, 11, 12, 13, 14, 15, 16, 17, 18, 19, 20, 21, 22, 23, 24, 25, 26, 28, 29, 30, 31, 32, 33, 34, 35, 41, 56, 59, 63, 69, 70, 72, 74, 75, 76, 77, 78, 79, 80, 81, 84</w:t>
      </w:r>
    </w:p>
    <w:p w14:paraId="62A0AC7D" w14:textId="77777777" w:rsidR="00A367ED" w:rsidRDefault="00A367ED">
      <w:pPr>
        <w:pStyle w:val="Index1"/>
        <w:tabs>
          <w:tab w:val="right" w:leader="dot" w:pos="4130"/>
        </w:tabs>
        <w:rPr>
          <w:noProof/>
        </w:rPr>
      </w:pPr>
      <w:r>
        <w:rPr>
          <w:noProof/>
        </w:rPr>
        <w:t>Traditional to Roth IRA conversion, 28, 34, 35, 36</w:t>
      </w:r>
    </w:p>
    <w:p w14:paraId="49061898" w14:textId="77777777" w:rsidR="00A367ED" w:rsidRDefault="00A367ED">
      <w:pPr>
        <w:pStyle w:val="Index1"/>
        <w:tabs>
          <w:tab w:val="right" w:leader="dot" w:pos="4130"/>
        </w:tabs>
        <w:rPr>
          <w:noProof/>
        </w:rPr>
      </w:pPr>
      <w:r>
        <w:rPr>
          <w:noProof/>
        </w:rPr>
        <w:t>Trust or custodial account, 40, 47, 48, 72, 73, 83</w:t>
      </w:r>
    </w:p>
    <w:p w14:paraId="09EA6041" w14:textId="77777777" w:rsidR="00A367ED" w:rsidRDefault="00A367ED">
      <w:pPr>
        <w:pStyle w:val="Index1"/>
        <w:tabs>
          <w:tab w:val="right" w:leader="dot" w:pos="4130"/>
        </w:tabs>
        <w:rPr>
          <w:noProof/>
        </w:rPr>
      </w:pPr>
      <w:r>
        <w:rPr>
          <w:noProof/>
        </w:rPr>
        <w:t>Unemployed spouses, 5</w:t>
      </w:r>
    </w:p>
    <w:p w14:paraId="7F7B59B4" w14:textId="77777777" w:rsidR="00A367ED" w:rsidRDefault="00A367ED">
      <w:pPr>
        <w:pStyle w:val="Index1"/>
        <w:tabs>
          <w:tab w:val="right" w:leader="dot" w:pos="4130"/>
        </w:tabs>
        <w:rPr>
          <w:noProof/>
        </w:rPr>
      </w:pPr>
      <w:r>
        <w:rPr>
          <w:noProof/>
        </w:rPr>
        <w:t>Uniform Lifetime Table, 23, 24, 58, 68, 76</w:t>
      </w:r>
    </w:p>
    <w:p w14:paraId="3A2D4228" w14:textId="77777777" w:rsidR="00A367ED" w:rsidRDefault="00A367ED">
      <w:pPr>
        <w:pStyle w:val="Index1"/>
        <w:tabs>
          <w:tab w:val="right" w:leader="dot" w:pos="4130"/>
        </w:tabs>
        <w:rPr>
          <w:noProof/>
        </w:rPr>
      </w:pPr>
      <w:r>
        <w:rPr>
          <w:noProof/>
        </w:rPr>
        <w:t>Use of life insurance prohibited in IRAs, 39</w:t>
      </w:r>
    </w:p>
    <w:p w14:paraId="754FC46E" w14:textId="77777777" w:rsidR="00A367ED" w:rsidRDefault="00A367ED" w:rsidP="00763036">
      <w:pPr>
        <w:rPr>
          <w:noProof/>
        </w:rPr>
        <w:sectPr w:rsidR="00A367ED" w:rsidSect="00A367ED">
          <w:type w:val="continuous"/>
          <w:pgSz w:w="12240" w:h="15840"/>
          <w:pgMar w:top="2160" w:right="1440" w:bottom="1440" w:left="1800" w:header="720" w:footer="720" w:gutter="0"/>
          <w:cols w:num="2" w:space="720"/>
          <w:titlePg/>
          <w:docGrid w:linePitch="299"/>
        </w:sectPr>
      </w:pPr>
    </w:p>
    <w:p w14:paraId="102FB03E" w14:textId="77777777" w:rsidR="00763036" w:rsidRDefault="00A95039" w:rsidP="00763036">
      <w:r>
        <w:fldChar w:fldCharType="end"/>
      </w:r>
    </w:p>
    <w:p w14:paraId="1088ECCE" w14:textId="77777777" w:rsidR="00FF477D" w:rsidRDefault="00FF477D" w:rsidP="00763036"/>
    <w:p w14:paraId="6FF149BD" w14:textId="77777777" w:rsidR="00FF477D" w:rsidRDefault="00FF477D" w:rsidP="00763036">
      <w:pPr>
        <w:sectPr w:rsidR="00FF477D" w:rsidSect="00A367ED">
          <w:type w:val="continuous"/>
          <w:pgSz w:w="12240" w:h="15840"/>
          <w:pgMar w:top="2160" w:right="1440" w:bottom="1440" w:left="1800" w:header="720" w:footer="720" w:gutter="0"/>
          <w:cols w:space="720"/>
          <w:titlePg/>
          <w:docGrid w:linePitch="299"/>
        </w:sectPr>
      </w:pPr>
    </w:p>
    <w:p w14:paraId="16A6CCA0" w14:textId="77777777" w:rsidR="00916BBB" w:rsidRDefault="00916BBB" w:rsidP="00916BBB">
      <w:pPr>
        <w:pStyle w:val="Heading1"/>
      </w:pPr>
      <w:r>
        <w:br w:type="page"/>
      </w:r>
      <w:bookmarkStart w:id="207" w:name="_Toc133223785"/>
      <w:bookmarkStart w:id="208" w:name="_Toc404357266"/>
      <w:r>
        <w:lastRenderedPageBreak/>
        <w:t>References</w:t>
      </w:r>
      <w:bookmarkEnd w:id="207"/>
      <w:bookmarkEnd w:id="208"/>
    </w:p>
    <w:p w14:paraId="1804DE6F" w14:textId="77777777" w:rsidR="00916BBB" w:rsidRDefault="00916BBB" w:rsidP="00916BBB">
      <w:pPr>
        <w:spacing w:before="120"/>
      </w:pPr>
      <w:r>
        <w:t>Students may wish to consult the following sources for additional study of individual retirement accounts, SEPs and SIMPLEs and their taxation:</w:t>
      </w:r>
    </w:p>
    <w:p w14:paraId="0DD606AB" w14:textId="77777777" w:rsidR="00916BBB" w:rsidRDefault="00916BBB" w:rsidP="00916BBB">
      <w:pPr>
        <w:spacing w:before="120"/>
      </w:pPr>
      <w:proofErr w:type="spellStart"/>
      <w:r>
        <w:t>Krass</w:t>
      </w:r>
      <w:proofErr w:type="spellEnd"/>
      <w:r>
        <w:t>, S.J. 2003.</w:t>
      </w:r>
      <w:r>
        <w:rPr>
          <w:i/>
        </w:rPr>
        <w:t xml:space="preserve"> The Pension Answer Book</w:t>
      </w:r>
      <w:r>
        <w:t>. New York: Aspen Publishers.</w:t>
      </w:r>
    </w:p>
    <w:p w14:paraId="66CA8664" w14:textId="77777777" w:rsidR="00916BBB" w:rsidRDefault="00916BBB" w:rsidP="00916BBB">
      <w:pPr>
        <w:spacing w:before="120"/>
      </w:pPr>
      <w:r>
        <w:t xml:space="preserve">Leimberg, S.R., </w:t>
      </w:r>
      <w:proofErr w:type="spellStart"/>
      <w:r>
        <w:t>M.J.Satinsky</w:t>
      </w:r>
      <w:proofErr w:type="spellEnd"/>
      <w:r>
        <w:t xml:space="preserve">, </w:t>
      </w:r>
      <w:proofErr w:type="spellStart"/>
      <w:r>
        <w:t>R.T.LeClair</w:t>
      </w:r>
      <w:proofErr w:type="spellEnd"/>
      <w:r>
        <w:t xml:space="preserve"> and </w:t>
      </w:r>
      <w:proofErr w:type="spellStart"/>
      <w:r>
        <w:t>R.J.Doyle</w:t>
      </w:r>
      <w:proofErr w:type="spellEnd"/>
      <w:r>
        <w:t xml:space="preserve">, Jr.1998. </w:t>
      </w:r>
      <w:r>
        <w:rPr>
          <w:i/>
        </w:rPr>
        <w:t>The Tools and Techniques of Financial Planning</w:t>
      </w:r>
      <w:r>
        <w:t>. Cincinnati: National Underwriter.</w:t>
      </w:r>
    </w:p>
    <w:p w14:paraId="029293FB" w14:textId="77777777" w:rsidR="00916BBB" w:rsidRDefault="00916BBB" w:rsidP="00916BBB">
      <w:pPr>
        <w:spacing w:before="120"/>
      </w:pPr>
      <w:r>
        <w:t xml:space="preserve">Miner, D.A., ed, et al. 2002. </w:t>
      </w:r>
      <w:r>
        <w:rPr>
          <w:i/>
        </w:rPr>
        <w:t>Tax Facts 1</w:t>
      </w:r>
      <w:r>
        <w:t>. Cincinnati: National Underwriter.</w:t>
      </w:r>
    </w:p>
    <w:p w14:paraId="4C43BC01" w14:textId="77777777" w:rsidR="00916BBB" w:rsidRDefault="00916BBB" w:rsidP="00916BBB">
      <w:pPr>
        <w:spacing w:before="120"/>
      </w:pPr>
      <w:r>
        <w:t xml:space="preserve">_________. 2001. </w:t>
      </w:r>
      <w:r>
        <w:rPr>
          <w:i/>
        </w:rPr>
        <w:t>Tax Relief 2001: A Summary of Selected Provisions of the Economic Growth and Tax Relief Reconciliation Act of 2001</w:t>
      </w:r>
      <w:r w:rsidR="00A95039">
        <w:rPr>
          <w:i/>
        </w:rPr>
        <w:fldChar w:fldCharType="begin"/>
      </w:r>
      <w:r w:rsidR="00293611">
        <w:instrText xml:space="preserve"> XE "</w:instrText>
      </w:r>
      <w:r w:rsidR="00293611" w:rsidRPr="00CD56BD">
        <w:rPr>
          <w:szCs w:val="22"/>
        </w:rPr>
        <w:instrText>Economic Growth and Tax Relief Reconciliation Act of 2001</w:instrText>
      </w:r>
      <w:r w:rsidR="00293611">
        <w:instrText xml:space="preserve">" </w:instrText>
      </w:r>
      <w:r w:rsidR="00A95039">
        <w:rPr>
          <w:i/>
        </w:rPr>
        <w:fldChar w:fldCharType="end"/>
      </w:r>
      <w:r>
        <w:t>. Cincinnati: National Underwriter.</w:t>
      </w:r>
    </w:p>
    <w:p w14:paraId="5D905891" w14:textId="77777777" w:rsidR="00916BBB" w:rsidRDefault="00916BBB" w:rsidP="00916BBB">
      <w:pPr>
        <w:spacing w:before="120"/>
      </w:pPr>
      <w:proofErr w:type="spellStart"/>
      <w:r>
        <w:t>Tacchino</w:t>
      </w:r>
      <w:proofErr w:type="spellEnd"/>
      <w:r>
        <w:t xml:space="preserve">, K.B. and </w:t>
      </w:r>
      <w:proofErr w:type="spellStart"/>
      <w:r>
        <w:t>D.</w:t>
      </w:r>
      <w:proofErr w:type="gramStart"/>
      <w:r>
        <w:t>A.Littell</w:t>
      </w:r>
      <w:proofErr w:type="spellEnd"/>
      <w:proofErr w:type="gramEnd"/>
      <w:r>
        <w:t xml:space="preserve">. 1994. </w:t>
      </w:r>
      <w:r>
        <w:rPr>
          <w:i/>
        </w:rPr>
        <w:t>Planning for Retirement Needs</w:t>
      </w:r>
      <w:r>
        <w:t>. Bryn Mawr: The American College.</w:t>
      </w:r>
    </w:p>
    <w:p w14:paraId="05A29A3B" w14:textId="77777777" w:rsidR="00916BBB" w:rsidRDefault="00916BBB" w:rsidP="00916BBB">
      <w:pPr>
        <w:spacing w:before="120"/>
      </w:pPr>
      <w:r>
        <w:t xml:space="preserve">Wagner, W.J. 1999. </w:t>
      </w:r>
      <w:r>
        <w:rPr>
          <w:i/>
        </w:rPr>
        <w:t>The IRA Handbook</w:t>
      </w:r>
      <w:r>
        <w:t>. Cincinnati: National Underwriter.</w:t>
      </w:r>
    </w:p>
    <w:p w14:paraId="4A037DF5" w14:textId="77777777" w:rsidR="00916BBB" w:rsidRDefault="00916BBB" w:rsidP="00916BBB">
      <w:pPr>
        <w:spacing w:before="120"/>
      </w:pPr>
      <w:r>
        <w:t xml:space="preserve">Information is also available from the Internal Revenue Service Web site: </w:t>
      </w:r>
      <w:r>
        <w:rPr>
          <w:color w:val="0000FF"/>
          <w:u w:val="single"/>
        </w:rPr>
        <w:t>http://www.irs.gov.</w:t>
      </w:r>
    </w:p>
    <w:sectPr w:rsidR="00916BBB" w:rsidSect="00763036">
      <w:type w:val="continuous"/>
      <w:pgSz w:w="12240" w:h="15840"/>
      <w:pgMar w:top="2160" w:right="144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2AE3" w14:textId="77777777" w:rsidR="00105EFD" w:rsidRDefault="00105EFD" w:rsidP="0011553D">
      <w:pPr>
        <w:pStyle w:val="TOC4"/>
      </w:pPr>
      <w:r>
        <w:separator/>
      </w:r>
    </w:p>
  </w:endnote>
  <w:endnote w:type="continuationSeparator" w:id="0">
    <w:p w14:paraId="350B6542" w14:textId="77777777" w:rsidR="00105EFD" w:rsidRDefault="00105EFD" w:rsidP="0011553D">
      <w:pPr>
        <w:pStyle w:val="TOC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nationalRis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9C9A" w14:textId="77777777" w:rsidR="00837F7D" w:rsidRPr="005F79D8" w:rsidRDefault="00000000" w:rsidP="005F79D8">
    <w:pPr>
      <w:pStyle w:val="WFooter"/>
    </w:pPr>
    <w:r>
      <w:fldChar w:fldCharType="begin"/>
    </w:r>
    <w:r>
      <w:instrText xml:space="preserve">PAGE  </w:instrText>
    </w:r>
    <w:r>
      <w:fldChar w:fldCharType="separate"/>
    </w:r>
    <w:r w:rsidR="002108D1">
      <w:rPr>
        <w:noProof/>
      </w:rPr>
      <w:t>82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D250" w14:textId="77777777" w:rsidR="00837F7D" w:rsidRPr="005F79D8" w:rsidRDefault="00000000" w:rsidP="005F79D8">
    <w:pPr>
      <w:pStyle w:val="WFooter"/>
    </w:pPr>
    <w:r>
      <w:fldChar w:fldCharType="begin"/>
    </w:r>
    <w:r>
      <w:instrText xml:space="preserve">PAGE  </w:instrText>
    </w:r>
    <w:r>
      <w:fldChar w:fldCharType="separate"/>
    </w:r>
    <w:r w:rsidR="002108D1">
      <w:rPr>
        <w:noProof/>
      </w:rPr>
      <w:t>83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C76C" w14:textId="77777777" w:rsidR="00837F7D" w:rsidRPr="00366F87" w:rsidRDefault="00837F7D" w:rsidP="005F79D8">
    <w:pPr>
      <w:pStyle w:val="WFoo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65BA" w14:textId="77777777" w:rsidR="00837F7D" w:rsidRPr="006E01A3" w:rsidRDefault="00000000" w:rsidP="006E01A3">
    <w:pPr>
      <w:pStyle w:val="WFooter"/>
    </w:pPr>
    <w:r>
      <w:fldChar w:fldCharType="begin"/>
    </w:r>
    <w:r>
      <w:instrText xml:space="preserve">PAGE  </w:instrText>
    </w:r>
    <w:r>
      <w:fldChar w:fldCharType="separate"/>
    </w:r>
    <w:r w:rsidR="002108D1">
      <w:rPr>
        <w:noProof/>
      </w:rPr>
      <w:t>25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233B" w14:textId="77777777" w:rsidR="00837F7D" w:rsidRDefault="00A95039" w:rsidP="006E01A3">
    <w:pPr>
      <w:pStyle w:val="WFooter"/>
      <w:rPr>
        <w:rStyle w:val="PageNumber"/>
      </w:rPr>
    </w:pPr>
    <w:r>
      <w:rPr>
        <w:rStyle w:val="PageNumber"/>
      </w:rPr>
      <w:fldChar w:fldCharType="begin"/>
    </w:r>
    <w:r w:rsidR="00837F7D">
      <w:rPr>
        <w:rStyle w:val="PageNumber"/>
      </w:rPr>
      <w:instrText xml:space="preserve">PAGE  </w:instrText>
    </w:r>
    <w:r>
      <w:rPr>
        <w:rStyle w:val="PageNumber"/>
      </w:rPr>
      <w:fldChar w:fldCharType="separate"/>
    </w:r>
    <w:r w:rsidR="002108D1">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A8C4" w14:textId="77777777" w:rsidR="00837F7D" w:rsidRDefault="00A95039" w:rsidP="006E01A3">
    <w:pPr>
      <w:pStyle w:val="WFooter"/>
      <w:rPr>
        <w:rStyle w:val="PageNumber"/>
      </w:rPr>
    </w:pPr>
    <w:r>
      <w:rPr>
        <w:rStyle w:val="PageNumber"/>
      </w:rPr>
      <w:fldChar w:fldCharType="begin"/>
    </w:r>
    <w:r w:rsidR="00837F7D">
      <w:rPr>
        <w:rStyle w:val="PageNumber"/>
      </w:rPr>
      <w:instrText xml:space="preserve">PAGE  </w:instrText>
    </w:r>
    <w:r>
      <w:rPr>
        <w:rStyle w:val="PageNumber"/>
      </w:rPr>
      <w:fldChar w:fldCharType="separate"/>
    </w:r>
    <w:r w:rsidR="002108D1">
      <w:rPr>
        <w:rStyle w:val="PageNumber"/>
        <w:noProof/>
      </w:rPr>
      <w:t>41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C7C8" w14:textId="77777777" w:rsidR="00837F7D" w:rsidRDefault="00A95039" w:rsidP="006E01A3">
    <w:pPr>
      <w:pStyle w:val="WFooter"/>
      <w:rPr>
        <w:rStyle w:val="PageNumber"/>
      </w:rPr>
    </w:pPr>
    <w:r>
      <w:rPr>
        <w:rStyle w:val="PageNumber"/>
      </w:rPr>
      <w:fldChar w:fldCharType="begin"/>
    </w:r>
    <w:r w:rsidR="00837F7D">
      <w:rPr>
        <w:rStyle w:val="PageNumber"/>
      </w:rPr>
      <w:instrText xml:space="preserve">PAGE  </w:instrText>
    </w:r>
    <w:r>
      <w:rPr>
        <w:rStyle w:val="PageNumber"/>
      </w:rPr>
      <w:fldChar w:fldCharType="separate"/>
    </w:r>
    <w:r w:rsidR="002108D1">
      <w:rPr>
        <w:rStyle w:val="PageNumber"/>
        <w:noProof/>
      </w:rPr>
      <w:t>47</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AC4" w14:textId="77777777" w:rsidR="00837F7D" w:rsidRDefault="00A95039" w:rsidP="006E01A3">
    <w:pPr>
      <w:pStyle w:val="WFooter"/>
      <w:rPr>
        <w:rStyle w:val="PageNumber"/>
      </w:rPr>
    </w:pPr>
    <w:r>
      <w:rPr>
        <w:rStyle w:val="PageNumber"/>
      </w:rPr>
      <w:fldChar w:fldCharType="begin"/>
    </w:r>
    <w:r w:rsidR="00837F7D">
      <w:rPr>
        <w:rStyle w:val="PageNumber"/>
      </w:rPr>
      <w:instrText xml:space="preserve">PAGE  </w:instrText>
    </w:r>
    <w:r>
      <w:rPr>
        <w:rStyle w:val="PageNumber"/>
      </w:rPr>
      <w:fldChar w:fldCharType="separate"/>
    </w:r>
    <w:r w:rsidR="002108D1">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27E7" w14:textId="77777777" w:rsidR="00105EFD" w:rsidRDefault="00105EFD" w:rsidP="0011553D">
      <w:pPr>
        <w:pStyle w:val="TOC4"/>
      </w:pPr>
      <w:r>
        <w:separator/>
      </w:r>
    </w:p>
  </w:footnote>
  <w:footnote w:type="continuationSeparator" w:id="0">
    <w:p w14:paraId="792E345F" w14:textId="77777777" w:rsidR="00105EFD" w:rsidRDefault="00105EFD" w:rsidP="0011553D">
      <w:pPr>
        <w:pStyle w:val="TOC4"/>
      </w:pPr>
      <w:r>
        <w:continuationSeparator/>
      </w:r>
    </w:p>
  </w:footnote>
  <w:footnote w:id="1">
    <w:p w14:paraId="52FF34D5" w14:textId="77777777" w:rsidR="00837F7D" w:rsidRDefault="00837F7D">
      <w:pPr>
        <w:pStyle w:val="FootnoteText"/>
      </w:pPr>
      <w:r>
        <w:rPr>
          <w:rStyle w:val="FootnoteReference"/>
        </w:rPr>
        <w:footnoteRef/>
      </w:r>
      <w:r>
        <w:t xml:space="preserve"> Note that the adjusted gross income</w:t>
      </w:r>
      <w:r w:rsidR="00A95039">
        <w:fldChar w:fldCharType="begin"/>
      </w:r>
      <w:r>
        <w:instrText xml:space="preserve"> XE "</w:instrText>
      </w:r>
      <w:r w:rsidRPr="00CD56BD">
        <w:rPr>
          <w:szCs w:val="22"/>
        </w:rPr>
        <w:instrText>adjusted gross income</w:instrText>
      </w:r>
      <w:r>
        <w:instrText xml:space="preserve">" </w:instrText>
      </w:r>
      <w:r w:rsidR="00A95039">
        <w:fldChar w:fldCharType="end"/>
      </w:r>
      <w:r>
        <w:t xml:space="preserve"> may change from year to year.</w:t>
      </w:r>
    </w:p>
  </w:footnote>
  <w:footnote w:id="2">
    <w:p w14:paraId="239AAC4B" w14:textId="77777777" w:rsidR="00837F7D" w:rsidRPr="000444EC" w:rsidRDefault="00837F7D" w:rsidP="00AF4C92">
      <w:pPr>
        <w:pStyle w:val="FootnoteText"/>
        <w:rPr>
          <w:sz w:val="18"/>
          <w:szCs w:val="18"/>
        </w:rPr>
      </w:pPr>
      <w:r w:rsidRPr="000444EC">
        <w:rPr>
          <w:rStyle w:val="FootnoteReference"/>
          <w:sz w:val="18"/>
          <w:szCs w:val="18"/>
        </w:rPr>
        <w:footnoteRef/>
      </w:r>
      <w:r w:rsidRPr="000444EC">
        <w:rPr>
          <w:sz w:val="18"/>
          <w:szCs w:val="18"/>
        </w:rPr>
        <w:t xml:space="preserve"> An apparent contradiction applies with respect to 401(k) and 403(b) plan designated Roth accounts from which RMDs must b</w:t>
      </w:r>
      <w:r>
        <w:rPr>
          <w:sz w:val="18"/>
          <w:szCs w:val="18"/>
        </w:rPr>
        <w:t>e taken.</w:t>
      </w:r>
    </w:p>
  </w:footnote>
  <w:footnote w:id="3">
    <w:p w14:paraId="7FD075B6" w14:textId="77777777" w:rsidR="00837F7D" w:rsidRDefault="00837F7D">
      <w:pPr>
        <w:pStyle w:val="FootnoteText"/>
      </w:pPr>
      <w:r>
        <w:rPr>
          <w:rStyle w:val="FootnoteReference"/>
        </w:rPr>
        <w:footnoteRef/>
      </w:r>
      <w:r>
        <w:t xml:space="preserve"> </w:t>
      </w:r>
      <w:r w:rsidRPr="00B958BB">
        <w:rPr>
          <w:szCs w:val="20"/>
        </w:rPr>
        <w:t>IRC Section 410(</w:t>
      </w:r>
      <w:r w:rsidRPr="00B958BB">
        <w:rPr>
          <w:szCs w:val="20"/>
        </w:rPr>
        <w:t xml:space="preserve">a )(17) caps the annual compensation that can be taken into account when determining contributions and benefits under qualified plans. As noted, in </w:t>
      </w:r>
      <w:r>
        <w:rPr>
          <w:szCs w:val="20"/>
        </w:rPr>
        <w:t>201</w:t>
      </w:r>
      <w:r w:rsidR="000C4717">
        <w:rPr>
          <w:szCs w:val="20"/>
        </w:rPr>
        <w:t>5</w:t>
      </w:r>
      <w:r>
        <w:rPr>
          <w:szCs w:val="20"/>
        </w:rPr>
        <w:t xml:space="preserve"> this limit</w:t>
      </w:r>
      <w:r w:rsidRPr="00B958BB">
        <w:rPr>
          <w:szCs w:val="20"/>
        </w:rPr>
        <w:t xml:space="preserve"> </w:t>
      </w:r>
      <w:r>
        <w:rPr>
          <w:szCs w:val="20"/>
        </w:rPr>
        <w:t>i</w:t>
      </w:r>
      <w:r w:rsidRPr="00B958BB">
        <w:rPr>
          <w:szCs w:val="20"/>
        </w:rPr>
        <w:t>s $2</w:t>
      </w:r>
      <w:r>
        <w:rPr>
          <w:szCs w:val="20"/>
        </w:rPr>
        <w:t>6</w:t>
      </w:r>
      <w:r w:rsidR="000C4717">
        <w:rPr>
          <w:szCs w:val="20"/>
        </w:rPr>
        <w:t>5</w:t>
      </w:r>
      <w:r w:rsidRPr="00B958BB">
        <w:rPr>
          <w:szCs w:val="20"/>
        </w:rPr>
        <w:t xml:space="preserve">,000. This limit does not apply to employer- matching contributions to SIMPLE plans; </w:t>
      </w:r>
      <w:r>
        <w:rPr>
          <w:szCs w:val="20"/>
        </w:rPr>
        <w:t xml:space="preserve">however, </w:t>
      </w:r>
      <w:r w:rsidRPr="00B958BB">
        <w:rPr>
          <w:szCs w:val="20"/>
        </w:rPr>
        <w:t>it does apply to nonelective employer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2E92" w14:textId="77777777" w:rsidR="00837F7D" w:rsidRDefault="00837F7D" w:rsidP="004F6309">
    <w:pPr>
      <w:pStyle w:val="Headereven"/>
    </w:pPr>
    <w:r>
      <w:t>Individual Retirement Accounts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C55E" w14:textId="77777777" w:rsidR="00837F7D" w:rsidRDefault="00837F7D" w:rsidP="004F6309">
    <w:pPr>
      <w:pStyle w:val="Headereven"/>
      <w:jc w:val="right"/>
    </w:pPr>
    <w:r>
      <w:t>Chapter 1—Traditional IRAs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33F5" w14:textId="77777777" w:rsidR="00837F7D" w:rsidRDefault="00837F7D" w:rsidP="004F6309">
    <w:pPr>
      <w:pStyle w:val="Headereven"/>
      <w:jc w:val="right"/>
    </w:pPr>
    <w:r>
      <w:t>Chapter 2—Roth IRAs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86F8" w14:textId="77777777" w:rsidR="00837F7D" w:rsidRDefault="00837F7D" w:rsidP="004F6309">
    <w:pPr>
      <w:pStyle w:val="Headereven"/>
      <w:jc w:val="right"/>
    </w:pPr>
    <w:r>
      <w:t>Chapter 3—IRA Funding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1C28" w14:textId="77777777" w:rsidR="00837F7D" w:rsidRDefault="00837F7D" w:rsidP="004F6309">
    <w:pPr>
      <w:pStyle w:val="Headereven"/>
      <w:jc w:val="right"/>
    </w:pPr>
    <w:r>
      <w:t>Chapter 4—Education IRAs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9F88" w14:textId="77777777" w:rsidR="00837F7D" w:rsidRDefault="00837F7D" w:rsidP="004F6309">
    <w:pPr>
      <w:pStyle w:val="Headereven"/>
      <w:jc w:val="right"/>
    </w:pPr>
    <w:r>
      <w:t>Chapter 5—Simplified Employee Pension IRAs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4C0C" w14:textId="77777777" w:rsidR="00837F7D" w:rsidRDefault="00837F7D" w:rsidP="004F6309">
    <w:pPr>
      <w:pStyle w:val="Headereven"/>
      <w:jc w:val="right"/>
    </w:pPr>
    <w:r>
      <w:t>Chapter 6—SIMPLE IRAs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B27D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906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5C64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A26C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90F3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277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0EB8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9C08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DAC2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0C1B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F4C7A"/>
    <w:multiLevelType w:val="multilevel"/>
    <w:tmpl w:val="8918D818"/>
    <w:styleLink w:val="WListBCi"/>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6C3452"/>
    <w:multiLevelType w:val="multilevel"/>
    <w:tmpl w:val="8918D818"/>
    <w:numStyleLink w:val="WListBCi"/>
  </w:abstractNum>
  <w:abstractNum w:abstractNumId="12" w15:restartNumberingAfterBreak="0">
    <w:nsid w:val="02E13314"/>
    <w:multiLevelType w:val="hybridMultilevel"/>
    <w:tmpl w:val="E780C744"/>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DC420D"/>
    <w:multiLevelType w:val="multilevel"/>
    <w:tmpl w:val="8918D818"/>
    <w:numStyleLink w:val="WListBCi"/>
  </w:abstractNum>
  <w:abstractNum w:abstractNumId="14" w15:restartNumberingAfterBreak="0">
    <w:nsid w:val="03E10AEB"/>
    <w:multiLevelType w:val="hybridMultilevel"/>
    <w:tmpl w:val="6FCECAC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1840EE"/>
    <w:multiLevelType w:val="hybridMultilevel"/>
    <w:tmpl w:val="515472DA"/>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0966E1"/>
    <w:multiLevelType w:val="hybridMultilevel"/>
    <w:tmpl w:val="21EE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3B5E25"/>
    <w:multiLevelType w:val="hybridMultilevel"/>
    <w:tmpl w:val="214248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472A2D"/>
    <w:multiLevelType w:val="hybridMultilevel"/>
    <w:tmpl w:val="62C495A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4E2D8A"/>
    <w:multiLevelType w:val="multilevel"/>
    <w:tmpl w:val="6D06215A"/>
    <w:styleLink w:val="WList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 w15:restartNumberingAfterBreak="0">
    <w:nsid w:val="0D621F9F"/>
    <w:multiLevelType w:val="hybridMultilevel"/>
    <w:tmpl w:val="BBA0974A"/>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E795C8B"/>
    <w:multiLevelType w:val="multilevel"/>
    <w:tmpl w:val="8918D818"/>
    <w:numStyleLink w:val="WListBCi"/>
  </w:abstractNum>
  <w:abstractNum w:abstractNumId="22" w15:restartNumberingAfterBreak="0">
    <w:nsid w:val="0FF02555"/>
    <w:multiLevelType w:val="hybridMultilevel"/>
    <w:tmpl w:val="1E261C8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181B84"/>
    <w:multiLevelType w:val="hybridMultilevel"/>
    <w:tmpl w:val="763E8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ED7438"/>
    <w:multiLevelType w:val="hybridMultilevel"/>
    <w:tmpl w:val="C8F882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18B4403"/>
    <w:multiLevelType w:val="multilevel"/>
    <w:tmpl w:val="8918D818"/>
    <w:numStyleLink w:val="WListBCi"/>
  </w:abstractNum>
  <w:abstractNum w:abstractNumId="26" w15:restartNumberingAfterBreak="0">
    <w:nsid w:val="11B57B80"/>
    <w:multiLevelType w:val="hybridMultilevel"/>
    <w:tmpl w:val="5D7CF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20E5A5C"/>
    <w:multiLevelType w:val="hybridMultilevel"/>
    <w:tmpl w:val="79D6754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2922EE8"/>
    <w:multiLevelType w:val="hybridMultilevel"/>
    <w:tmpl w:val="794AA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4DA196D"/>
    <w:multiLevelType w:val="hybridMultilevel"/>
    <w:tmpl w:val="2AC6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6BD0B1B"/>
    <w:multiLevelType w:val="hybridMultilevel"/>
    <w:tmpl w:val="C826F75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84BBB"/>
    <w:multiLevelType w:val="multilevel"/>
    <w:tmpl w:val="8918D818"/>
    <w:numStyleLink w:val="WListBCi"/>
  </w:abstractNum>
  <w:abstractNum w:abstractNumId="32" w15:restartNumberingAfterBreak="0">
    <w:nsid w:val="1AA72288"/>
    <w:multiLevelType w:val="multilevel"/>
    <w:tmpl w:val="7E40C25A"/>
    <w:styleLink w:val="WListR"/>
    <w:lvl w:ilvl="0">
      <w:start w:val="1"/>
      <w:numFmt w:val="upperRoman"/>
      <w:lvlText w:val="%1."/>
      <w:lvlJc w:val="left"/>
      <w:pPr>
        <w:tabs>
          <w:tab w:val="num" w:pos="720"/>
        </w:tabs>
        <w:ind w:left="720" w:hanging="360"/>
      </w:pPr>
      <w:rPr>
        <w:rFonts w:hint="default"/>
      </w:rPr>
    </w:lvl>
    <w:lvl w:ilvl="1">
      <w:start w:val="1"/>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1AD22593"/>
    <w:multiLevelType w:val="hybridMultilevel"/>
    <w:tmpl w:val="4E323908"/>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B6827E3"/>
    <w:multiLevelType w:val="hybridMultilevel"/>
    <w:tmpl w:val="F3F0F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BDD1E3C"/>
    <w:multiLevelType w:val="hybridMultilevel"/>
    <w:tmpl w:val="62A4B4D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5B1443"/>
    <w:multiLevelType w:val="hybridMultilevel"/>
    <w:tmpl w:val="57B05D8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D894EBE"/>
    <w:multiLevelType w:val="singleLevel"/>
    <w:tmpl w:val="F140BD20"/>
    <w:lvl w:ilvl="0">
      <w:start w:val="1"/>
      <w:numFmt w:val="upperLetter"/>
      <w:lvlText w:val="%1."/>
      <w:lvlJc w:val="left"/>
      <w:pPr>
        <w:tabs>
          <w:tab w:val="num" w:pos="0"/>
        </w:tabs>
        <w:ind w:left="1800" w:hanging="1440"/>
      </w:pPr>
      <w:rPr>
        <w:rFonts w:hint="default"/>
      </w:rPr>
    </w:lvl>
  </w:abstractNum>
  <w:abstractNum w:abstractNumId="38" w15:restartNumberingAfterBreak="0">
    <w:nsid w:val="1E380D58"/>
    <w:multiLevelType w:val="hybridMultilevel"/>
    <w:tmpl w:val="22B60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ED93345"/>
    <w:multiLevelType w:val="hybridMultilevel"/>
    <w:tmpl w:val="42565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D601A"/>
    <w:multiLevelType w:val="multilevel"/>
    <w:tmpl w:val="6D06215A"/>
    <w:styleLink w:val="WList1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232081F"/>
    <w:multiLevelType w:val="multilevel"/>
    <w:tmpl w:val="8918D818"/>
    <w:numStyleLink w:val="WListBCi"/>
  </w:abstractNum>
  <w:abstractNum w:abstractNumId="42" w15:restartNumberingAfterBreak="0">
    <w:nsid w:val="235B0E00"/>
    <w:multiLevelType w:val="hybridMultilevel"/>
    <w:tmpl w:val="BA10827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3B631FB"/>
    <w:multiLevelType w:val="hybridMultilevel"/>
    <w:tmpl w:val="57D265D4"/>
    <w:lvl w:ilvl="0" w:tplc="C8A893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42D7EEA"/>
    <w:multiLevelType w:val="hybridMultilevel"/>
    <w:tmpl w:val="A4FCD14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B41DA2"/>
    <w:multiLevelType w:val="hybridMultilevel"/>
    <w:tmpl w:val="027CA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9DA3E8E"/>
    <w:multiLevelType w:val="multilevel"/>
    <w:tmpl w:val="FDFA0640"/>
    <w:lvl w:ilvl="0">
      <w:start w:val="1"/>
      <w:numFmt w:val="bullet"/>
      <w:lvlText w:val=""/>
      <w:lvlJc w:val="left"/>
      <w:pPr>
        <w:tabs>
          <w:tab w:val="num" w:pos="216"/>
        </w:tabs>
        <w:ind w:left="360" w:hanging="216"/>
      </w:pPr>
      <w:rPr>
        <w:rFonts w:ascii="Symbol" w:hAnsi="Symbol" w:hint="default"/>
      </w:rPr>
    </w:lvl>
    <w:lvl w:ilvl="1">
      <w:start w:val="1"/>
      <w:numFmt w:val="bullet"/>
      <w:lvlText w:val="o"/>
      <w:lvlJc w:val="left"/>
      <w:pPr>
        <w:tabs>
          <w:tab w:val="num" w:pos="576"/>
        </w:tabs>
        <w:ind w:left="720" w:hanging="216"/>
      </w:pPr>
      <w:rPr>
        <w:rFonts w:ascii="Courier New" w:hAnsi="Courier New" w:hint="default"/>
        <w:sz w:val="20"/>
      </w:rPr>
    </w:lvl>
    <w:lvl w:ilvl="2">
      <w:start w:val="1"/>
      <w:numFmt w:val="bullet"/>
      <w:lvlText w:val=""/>
      <w:lvlJc w:val="left"/>
      <w:pPr>
        <w:tabs>
          <w:tab w:val="num" w:pos="936"/>
        </w:tabs>
        <w:ind w:left="1080" w:hanging="216"/>
      </w:pPr>
      <w:rPr>
        <w:rFonts w:ascii="Wingdings" w:hAnsi="Wingdings" w:hint="default"/>
      </w:rPr>
    </w:lvl>
    <w:lvl w:ilvl="3">
      <w:start w:val="1"/>
      <w:numFmt w:val="decimal"/>
      <w:lvlText w:val="%4."/>
      <w:lvlJc w:val="left"/>
      <w:pPr>
        <w:tabs>
          <w:tab w:val="num" w:pos="1296"/>
        </w:tabs>
        <w:ind w:left="1440" w:hanging="216"/>
      </w:pPr>
      <w:rPr>
        <w:rFonts w:hint="default"/>
      </w:rPr>
    </w:lvl>
    <w:lvl w:ilvl="4">
      <w:start w:val="1"/>
      <w:numFmt w:val="lowerLetter"/>
      <w:lvlText w:val="(%5)"/>
      <w:lvlJc w:val="left"/>
      <w:pPr>
        <w:tabs>
          <w:tab w:val="num" w:pos="1656"/>
        </w:tabs>
        <w:ind w:left="1800" w:hanging="216"/>
      </w:pPr>
      <w:rPr>
        <w:rFonts w:hint="default"/>
      </w:rPr>
    </w:lvl>
    <w:lvl w:ilvl="5">
      <w:start w:val="1"/>
      <w:numFmt w:val="lowerRoman"/>
      <w:lvlText w:val="(%6)"/>
      <w:lvlJc w:val="left"/>
      <w:pPr>
        <w:tabs>
          <w:tab w:val="num" w:pos="2016"/>
        </w:tabs>
        <w:ind w:left="2160" w:hanging="216"/>
      </w:pPr>
      <w:rPr>
        <w:rFonts w:hint="default"/>
      </w:rPr>
    </w:lvl>
    <w:lvl w:ilvl="6">
      <w:start w:val="1"/>
      <w:numFmt w:val="decimal"/>
      <w:lvlText w:val="%7."/>
      <w:lvlJc w:val="left"/>
      <w:pPr>
        <w:tabs>
          <w:tab w:val="num" w:pos="2376"/>
        </w:tabs>
        <w:ind w:left="2520" w:hanging="216"/>
      </w:pPr>
      <w:rPr>
        <w:rFonts w:hint="default"/>
      </w:rPr>
    </w:lvl>
    <w:lvl w:ilvl="7">
      <w:start w:val="1"/>
      <w:numFmt w:val="lowerLetter"/>
      <w:lvlText w:val="%8."/>
      <w:lvlJc w:val="left"/>
      <w:pPr>
        <w:tabs>
          <w:tab w:val="num" w:pos="2736"/>
        </w:tabs>
        <w:ind w:left="2880" w:hanging="216"/>
      </w:pPr>
      <w:rPr>
        <w:rFonts w:hint="default"/>
      </w:rPr>
    </w:lvl>
    <w:lvl w:ilvl="8">
      <w:start w:val="1"/>
      <w:numFmt w:val="lowerRoman"/>
      <w:lvlText w:val="%9."/>
      <w:lvlJc w:val="left"/>
      <w:pPr>
        <w:tabs>
          <w:tab w:val="num" w:pos="3096"/>
        </w:tabs>
        <w:ind w:left="3240" w:hanging="216"/>
      </w:pPr>
      <w:rPr>
        <w:rFonts w:hint="default"/>
      </w:rPr>
    </w:lvl>
  </w:abstractNum>
  <w:abstractNum w:abstractNumId="47" w15:restartNumberingAfterBreak="0">
    <w:nsid w:val="29F02197"/>
    <w:multiLevelType w:val="hybridMultilevel"/>
    <w:tmpl w:val="1A324A9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BB162D4"/>
    <w:multiLevelType w:val="hybridMultilevel"/>
    <w:tmpl w:val="EB9C5BA2"/>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BBC0AEF"/>
    <w:multiLevelType w:val="hybridMultilevel"/>
    <w:tmpl w:val="3F061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BBD3810"/>
    <w:multiLevelType w:val="hybridMultilevel"/>
    <w:tmpl w:val="429EFC04"/>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BE662C2"/>
    <w:multiLevelType w:val="hybridMultilevel"/>
    <w:tmpl w:val="FC82C75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BD1726"/>
    <w:multiLevelType w:val="hybridMultilevel"/>
    <w:tmpl w:val="617A0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D9C692B"/>
    <w:multiLevelType w:val="hybridMultilevel"/>
    <w:tmpl w:val="BEC8946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B85FB0"/>
    <w:multiLevelType w:val="multilevel"/>
    <w:tmpl w:val="6D0621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0197DE8"/>
    <w:multiLevelType w:val="hybridMultilevel"/>
    <w:tmpl w:val="0948870A"/>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3051418"/>
    <w:multiLevelType w:val="hybridMultilevel"/>
    <w:tmpl w:val="8A48804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31734B7"/>
    <w:multiLevelType w:val="hybridMultilevel"/>
    <w:tmpl w:val="17FC8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3823BB3"/>
    <w:multiLevelType w:val="hybridMultilevel"/>
    <w:tmpl w:val="F062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71236E"/>
    <w:multiLevelType w:val="multilevel"/>
    <w:tmpl w:val="8918D818"/>
    <w:numStyleLink w:val="WListBCi"/>
  </w:abstractNum>
  <w:abstractNum w:abstractNumId="60" w15:restartNumberingAfterBreak="0">
    <w:nsid w:val="369235DD"/>
    <w:multiLevelType w:val="multilevel"/>
    <w:tmpl w:val="8918D818"/>
    <w:numStyleLink w:val="WListBCi"/>
  </w:abstractNum>
  <w:abstractNum w:abstractNumId="61" w15:restartNumberingAfterBreak="0">
    <w:nsid w:val="37266771"/>
    <w:multiLevelType w:val="hybridMultilevel"/>
    <w:tmpl w:val="FB1061B2"/>
    <w:lvl w:ilvl="0" w:tplc="C8A893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37992950"/>
    <w:multiLevelType w:val="hybridMultilevel"/>
    <w:tmpl w:val="1924C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7B9637D"/>
    <w:multiLevelType w:val="hybridMultilevel"/>
    <w:tmpl w:val="DE28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82C34F7"/>
    <w:multiLevelType w:val="multilevel"/>
    <w:tmpl w:val="8918D818"/>
    <w:numStyleLink w:val="WListBCi"/>
  </w:abstractNum>
  <w:abstractNum w:abstractNumId="65" w15:restartNumberingAfterBreak="0">
    <w:nsid w:val="39C1695B"/>
    <w:multiLevelType w:val="hybridMultilevel"/>
    <w:tmpl w:val="11CA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341533"/>
    <w:multiLevelType w:val="multilevel"/>
    <w:tmpl w:val="8918D818"/>
    <w:numStyleLink w:val="WListBCi"/>
  </w:abstractNum>
  <w:abstractNum w:abstractNumId="67" w15:restartNumberingAfterBreak="0">
    <w:nsid w:val="3B707074"/>
    <w:multiLevelType w:val="hybridMultilevel"/>
    <w:tmpl w:val="C6E25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D872190"/>
    <w:multiLevelType w:val="hybridMultilevel"/>
    <w:tmpl w:val="D10A008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DDD083E"/>
    <w:multiLevelType w:val="multilevel"/>
    <w:tmpl w:val="4D5C179E"/>
    <w:styleLink w:val="WLista"/>
    <w:lvl w:ilvl="0">
      <w:start w:val="1"/>
      <w:numFmt w:val="lowerLetter"/>
      <w:lvlText w:val="%1."/>
      <w:lvlJc w:val="left"/>
      <w:pPr>
        <w:tabs>
          <w:tab w:val="num" w:pos="36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E701F3F"/>
    <w:multiLevelType w:val="hybridMultilevel"/>
    <w:tmpl w:val="30C8DE0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0B21CE1"/>
    <w:multiLevelType w:val="hybridMultilevel"/>
    <w:tmpl w:val="4D46C4B2"/>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1551207"/>
    <w:multiLevelType w:val="multilevel"/>
    <w:tmpl w:val="8918D818"/>
    <w:numStyleLink w:val="WListBCi"/>
  </w:abstractNum>
  <w:abstractNum w:abstractNumId="73" w15:restartNumberingAfterBreak="0">
    <w:nsid w:val="417D292F"/>
    <w:multiLevelType w:val="multilevel"/>
    <w:tmpl w:val="8918D818"/>
    <w:numStyleLink w:val="WListBCi"/>
  </w:abstractNum>
  <w:abstractNum w:abstractNumId="74" w15:restartNumberingAfterBreak="0">
    <w:nsid w:val="433476C8"/>
    <w:multiLevelType w:val="hybridMultilevel"/>
    <w:tmpl w:val="35F2F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3EB5EEA"/>
    <w:multiLevelType w:val="multilevel"/>
    <w:tmpl w:val="8918D818"/>
    <w:numStyleLink w:val="WListBCi"/>
  </w:abstractNum>
  <w:abstractNum w:abstractNumId="76" w15:restartNumberingAfterBreak="0">
    <w:nsid w:val="443F6456"/>
    <w:multiLevelType w:val="multilevel"/>
    <w:tmpl w:val="F6D024D2"/>
    <w:styleLink w:val="WListB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5C8563B"/>
    <w:multiLevelType w:val="hybridMultilevel"/>
    <w:tmpl w:val="2E388802"/>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C70697"/>
    <w:multiLevelType w:val="hybridMultilevel"/>
    <w:tmpl w:val="5A8895C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7001C06"/>
    <w:multiLevelType w:val="hybridMultilevel"/>
    <w:tmpl w:val="9FBA1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7EC6A77"/>
    <w:multiLevelType w:val="hybridMultilevel"/>
    <w:tmpl w:val="55449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8D2540D"/>
    <w:multiLevelType w:val="hybridMultilevel"/>
    <w:tmpl w:val="66E8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9422D27"/>
    <w:multiLevelType w:val="hybridMultilevel"/>
    <w:tmpl w:val="CA54B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9A5034E"/>
    <w:multiLevelType w:val="hybridMultilevel"/>
    <w:tmpl w:val="DCDED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A183934"/>
    <w:multiLevelType w:val="hybridMultilevel"/>
    <w:tmpl w:val="F17E09F0"/>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A783002"/>
    <w:multiLevelType w:val="hybridMultilevel"/>
    <w:tmpl w:val="ECE0D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C2E4030"/>
    <w:multiLevelType w:val="hybridMultilevel"/>
    <w:tmpl w:val="BC86D45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E636F8C"/>
    <w:multiLevelType w:val="multilevel"/>
    <w:tmpl w:val="8918D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EB25845"/>
    <w:multiLevelType w:val="multilevel"/>
    <w:tmpl w:val="8918D818"/>
    <w:numStyleLink w:val="WListBCi"/>
  </w:abstractNum>
  <w:abstractNum w:abstractNumId="89" w15:restartNumberingAfterBreak="0">
    <w:nsid w:val="500F25A4"/>
    <w:multiLevelType w:val="hybridMultilevel"/>
    <w:tmpl w:val="92E4A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0994567"/>
    <w:multiLevelType w:val="hybridMultilevel"/>
    <w:tmpl w:val="3196B218"/>
    <w:lvl w:ilvl="0" w:tplc="C8A893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5359526D"/>
    <w:multiLevelType w:val="hybridMultilevel"/>
    <w:tmpl w:val="1D661F9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4091818"/>
    <w:multiLevelType w:val="hybridMultilevel"/>
    <w:tmpl w:val="B1D24A02"/>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54B5F58"/>
    <w:multiLevelType w:val="hybridMultilevel"/>
    <w:tmpl w:val="E11CA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868566E"/>
    <w:multiLevelType w:val="multilevel"/>
    <w:tmpl w:val="8918D818"/>
    <w:numStyleLink w:val="WListBCi"/>
  </w:abstractNum>
  <w:abstractNum w:abstractNumId="95" w15:restartNumberingAfterBreak="0">
    <w:nsid w:val="5A6A66AC"/>
    <w:multiLevelType w:val="hybridMultilevel"/>
    <w:tmpl w:val="C1628352"/>
    <w:lvl w:ilvl="0" w:tplc="7DFCC138">
      <w:start w:val="1"/>
      <w:numFmt w:val="bullet"/>
      <w:pStyle w:val="tableinfo"/>
      <w:lvlText w:val=""/>
      <w:lvlJc w:val="left"/>
      <w:pPr>
        <w:tabs>
          <w:tab w:val="num" w:pos="432"/>
        </w:tabs>
        <w:ind w:left="432" w:hanging="360"/>
      </w:pPr>
      <w:rPr>
        <w:rFonts w:ascii="Symbol" w:hAnsi="Symbol" w:hint="default"/>
      </w:rPr>
    </w:lvl>
    <w:lvl w:ilvl="1" w:tplc="C00C1F98">
      <w:start w:val="1"/>
      <w:numFmt w:val="bullet"/>
      <w:lvlText w:val=""/>
      <w:lvlJc w:val="left"/>
      <w:pPr>
        <w:tabs>
          <w:tab w:val="num" w:pos="432"/>
        </w:tabs>
        <w:ind w:left="432" w:hanging="360"/>
      </w:pPr>
      <w:rPr>
        <w:rFonts w:ascii="Symbol" w:hAnsi="Symbol"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6" w15:restartNumberingAfterBreak="0">
    <w:nsid w:val="5A8A1994"/>
    <w:multiLevelType w:val="hybridMultilevel"/>
    <w:tmpl w:val="1E1EA64A"/>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B633412"/>
    <w:multiLevelType w:val="hybridMultilevel"/>
    <w:tmpl w:val="A8B6B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5B65732D"/>
    <w:multiLevelType w:val="multilevel"/>
    <w:tmpl w:val="895C263A"/>
    <w:styleLink w:val="WListTable"/>
    <w:lvl w:ilvl="0">
      <w:start w:val="1"/>
      <w:numFmt w:val="bullet"/>
      <w:lvlText w:val=""/>
      <w:lvlJc w:val="left"/>
      <w:pPr>
        <w:tabs>
          <w:tab w:val="num" w:pos="216"/>
        </w:tabs>
        <w:ind w:left="360" w:hanging="216"/>
      </w:pPr>
      <w:rPr>
        <w:rFonts w:ascii="Symbol" w:hAnsi="Symbol" w:hint="default"/>
      </w:rPr>
    </w:lvl>
    <w:lvl w:ilvl="1">
      <w:start w:val="1"/>
      <w:numFmt w:val="decimal"/>
      <w:lvlText w:val="%2."/>
      <w:lvlJc w:val="left"/>
      <w:pPr>
        <w:tabs>
          <w:tab w:val="num" w:pos="360"/>
        </w:tabs>
        <w:ind w:left="360" w:firstLine="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99" w15:restartNumberingAfterBreak="0">
    <w:nsid w:val="5D5C4F5D"/>
    <w:multiLevelType w:val="hybridMultilevel"/>
    <w:tmpl w:val="F5008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DFA105D"/>
    <w:multiLevelType w:val="multilevel"/>
    <w:tmpl w:val="8918D818"/>
    <w:numStyleLink w:val="WListBCi"/>
  </w:abstractNum>
  <w:abstractNum w:abstractNumId="101" w15:restartNumberingAfterBreak="0">
    <w:nsid w:val="5EE42088"/>
    <w:multiLevelType w:val="multilevel"/>
    <w:tmpl w:val="8918D818"/>
    <w:numStyleLink w:val="WListBCi"/>
  </w:abstractNum>
  <w:abstractNum w:abstractNumId="102" w15:restartNumberingAfterBreak="0">
    <w:nsid w:val="5F1323F3"/>
    <w:multiLevelType w:val="hybridMultilevel"/>
    <w:tmpl w:val="C9069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FC71E2F"/>
    <w:multiLevelType w:val="hybridMultilevel"/>
    <w:tmpl w:val="66902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2856160"/>
    <w:multiLevelType w:val="hybridMultilevel"/>
    <w:tmpl w:val="F6CEE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29C4B09"/>
    <w:multiLevelType w:val="multilevel"/>
    <w:tmpl w:val="6D06215A"/>
    <w:numStyleLink w:val="WList1a0"/>
  </w:abstractNum>
  <w:abstractNum w:abstractNumId="106" w15:restartNumberingAfterBreak="0">
    <w:nsid w:val="63BC60AF"/>
    <w:multiLevelType w:val="hybridMultilevel"/>
    <w:tmpl w:val="AFBAE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4596963"/>
    <w:multiLevelType w:val="hybridMultilevel"/>
    <w:tmpl w:val="03EAA3E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48C18F7"/>
    <w:multiLevelType w:val="multilevel"/>
    <w:tmpl w:val="8918D818"/>
    <w:numStyleLink w:val="WListBCi"/>
  </w:abstractNum>
  <w:abstractNum w:abstractNumId="109" w15:restartNumberingAfterBreak="0">
    <w:nsid w:val="65331574"/>
    <w:multiLevelType w:val="multilevel"/>
    <w:tmpl w:val="8918D818"/>
    <w:numStyleLink w:val="WListBCi"/>
  </w:abstractNum>
  <w:abstractNum w:abstractNumId="110" w15:restartNumberingAfterBreak="0">
    <w:nsid w:val="65622C90"/>
    <w:multiLevelType w:val="multilevel"/>
    <w:tmpl w:val="8918D818"/>
    <w:numStyleLink w:val="WListBCi"/>
  </w:abstractNum>
  <w:abstractNum w:abstractNumId="111" w15:restartNumberingAfterBreak="0">
    <w:nsid w:val="65966E0F"/>
    <w:multiLevelType w:val="multilevel"/>
    <w:tmpl w:val="34F61FCE"/>
    <w:styleLink w:val="WListi"/>
    <w:lvl w:ilvl="0">
      <w:start w:val="1"/>
      <w:numFmt w:val="lowerRoman"/>
      <w:lvlText w:val="(%1)"/>
      <w:lvlJc w:val="left"/>
      <w:pPr>
        <w:tabs>
          <w:tab w:val="num" w:pos="720"/>
        </w:tabs>
        <w:ind w:left="72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2" w15:restartNumberingAfterBreak="0">
    <w:nsid w:val="66202AD7"/>
    <w:multiLevelType w:val="hybridMultilevel"/>
    <w:tmpl w:val="4288E76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6337CDA"/>
    <w:multiLevelType w:val="hybridMultilevel"/>
    <w:tmpl w:val="24A2C4D4"/>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113278"/>
    <w:multiLevelType w:val="hybridMultilevel"/>
    <w:tmpl w:val="80EAF50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7C40B80"/>
    <w:multiLevelType w:val="hybridMultilevel"/>
    <w:tmpl w:val="D7B2533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86545D5"/>
    <w:multiLevelType w:val="hybridMultilevel"/>
    <w:tmpl w:val="60E80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98014EF"/>
    <w:multiLevelType w:val="hybridMultilevel"/>
    <w:tmpl w:val="9578C898"/>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99C4192"/>
    <w:multiLevelType w:val="multilevel"/>
    <w:tmpl w:val="8918D818"/>
    <w:numStyleLink w:val="WListBCi"/>
  </w:abstractNum>
  <w:abstractNum w:abstractNumId="119" w15:restartNumberingAfterBreak="0">
    <w:nsid w:val="6A481E53"/>
    <w:multiLevelType w:val="hybridMultilevel"/>
    <w:tmpl w:val="2D66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8B5419"/>
    <w:multiLevelType w:val="multilevel"/>
    <w:tmpl w:val="8918D818"/>
    <w:numStyleLink w:val="WListBCi"/>
  </w:abstractNum>
  <w:abstractNum w:abstractNumId="121" w15:restartNumberingAfterBreak="0">
    <w:nsid w:val="6D8D181F"/>
    <w:multiLevelType w:val="hybridMultilevel"/>
    <w:tmpl w:val="1A36D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DA178CC"/>
    <w:multiLevelType w:val="multilevel"/>
    <w:tmpl w:val="FDFA0640"/>
    <w:lvl w:ilvl="0">
      <w:start w:val="1"/>
      <w:numFmt w:val="bullet"/>
      <w:lvlText w:val=""/>
      <w:lvlJc w:val="left"/>
      <w:pPr>
        <w:tabs>
          <w:tab w:val="num" w:pos="216"/>
        </w:tabs>
        <w:ind w:left="360" w:hanging="216"/>
      </w:pPr>
      <w:rPr>
        <w:rFonts w:ascii="Symbol" w:hAnsi="Symbol" w:hint="default"/>
      </w:rPr>
    </w:lvl>
    <w:lvl w:ilvl="1">
      <w:start w:val="1"/>
      <w:numFmt w:val="decimal"/>
      <w:lvlText w:val="%2."/>
      <w:lvlJc w:val="left"/>
      <w:pPr>
        <w:tabs>
          <w:tab w:val="num" w:pos="360"/>
        </w:tabs>
        <w:ind w:left="360" w:firstLine="360"/>
      </w:pPr>
      <w:rPr>
        <w:rFonts w:hint="default"/>
        <w:sz w:val="20"/>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23" w15:restartNumberingAfterBreak="0">
    <w:nsid w:val="70CB5EE1"/>
    <w:multiLevelType w:val="hybridMultilevel"/>
    <w:tmpl w:val="087279E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0EE32FD"/>
    <w:multiLevelType w:val="hybridMultilevel"/>
    <w:tmpl w:val="91225A1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324756F"/>
    <w:multiLevelType w:val="hybridMultilevel"/>
    <w:tmpl w:val="F5902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37C35BB"/>
    <w:multiLevelType w:val="hybridMultilevel"/>
    <w:tmpl w:val="F926E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3A97395"/>
    <w:multiLevelType w:val="hybridMultilevel"/>
    <w:tmpl w:val="EBF25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3C35AF0"/>
    <w:multiLevelType w:val="multilevel"/>
    <w:tmpl w:val="8918D818"/>
    <w:numStyleLink w:val="WListBCi"/>
  </w:abstractNum>
  <w:abstractNum w:abstractNumId="129" w15:restartNumberingAfterBreak="0">
    <w:nsid w:val="73CA4B5B"/>
    <w:multiLevelType w:val="hybridMultilevel"/>
    <w:tmpl w:val="35CC5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4F52AD9"/>
    <w:multiLevelType w:val="hybridMultilevel"/>
    <w:tmpl w:val="08BA2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5A21B8A"/>
    <w:multiLevelType w:val="multilevel"/>
    <w:tmpl w:val="8918D818"/>
    <w:numStyleLink w:val="WListBCi"/>
  </w:abstractNum>
  <w:abstractNum w:abstractNumId="132" w15:restartNumberingAfterBreak="0">
    <w:nsid w:val="75F221C0"/>
    <w:multiLevelType w:val="multilevel"/>
    <w:tmpl w:val="8918D818"/>
    <w:numStyleLink w:val="WListBCi"/>
  </w:abstractNum>
  <w:abstractNum w:abstractNumId="133" w15:restartNumberingAfterBreak="0">
    <w:nsid w:val="76DF0D44"/>
    <w:multiLevelType w:val="hybridMultilevel"/>
    <w:tmpl w:val="2F788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70C5F80"/>
    <w:multiLevelType w:val="hybridMultilevel"/>
    <w:tmpl w:val="06B4685E"/>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85472B9"/>
    <w:multiLevelType w:val="hybridMultilevel"/>
    <w:tmpl w:val="35241D80"/>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95B7130"/>
    <w:multiLevelType w:val="hybridMultilevel"/>
    <w:tmpl w:val="06A43BA0"/>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9B73F37"/>
    <w:multiLevelType w:val="multilevel"/>
    <w:tmpl w:val="BB40122E"/>
    <w:styleLink w:val="WList1a1"/>
    <w:lvl w:ilvl="0">
      <w:start w:val="1"/>
      <w:numFmt w:val="decimal"/>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7AC937D5"/>
    <w:multiLevelType w:val="hybridMultilevel"/>
    <w:tmpl w:val="449C6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B247935"/>
    <w:multiLevelType w:val="hybridMultilevel"/>
    <w:tmpl w:val="B344BDBC"/>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B6116C3"/>
    <w:multiLevelType w:val="hybridMultilevel"/>
    <w:tmpl w:val="DA6E3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BA41762"/>
    <w:multiLevelType w:val="hybridMultilevel"/>
    <w:tmpl w:val="A10A738A"/>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C483950"/>
    <w:multiLevelType w:val="multilevel"/>
    <w:tmpl w:val="8918D818"/>
    <w:numStyleLink w:val="WListBCi"/>
  </w:abstractNum>
  <w:abstractNum w:abstractNumId="143" w15:restartNumberingAfterBreak="0">
    <w:nsid w:val="7CEB2520"/>
    <w:multiLevelType w:val="hybridMultilevel"/>
    <w:tmpl w:val="A6A0D0D6"/>
    <w:lvl w:ilvl="0" w:tplc="0980BC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D2B1C09"/>
    <w:multiLevelType w:val="multilevel"/>
    <w:tmpl w:val="8918D818"/>
    <w:numStyleLink w:val="WListBCi"/>
  </w:abstractNum>
  <w:abstractNum w:abstractNumId="145" w15:restartNumberingAfterBreak="0">
    <w:nsid w:val="7DBC7BF3"/>
    <w:multiLevelType w:val="hybridMultilevel"/>
    <w:tmpl w:val="D80C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E2221C1"/>
    <w:multiLevelType w:val="multilevel"/>
    <w:tmpl w:val="6D06215A"/>
    <w:numStyleLink w:val="WList1a0"/>
  </w:abstractNum>
  <w:num w:numId="1" w16cid:durableId="279846490">
    <w:abstractNumId w:val="95"/>
  </w:num>
  <w:num w:numId="2" w16cid:durableId="1971091166">
    <w:abstractNumId w:val="9"/>
  </w:num>
  <w:num w:numId="3" w16cid:durableId="1395346832">
    <w:abstractNumId w:val="7"/>
  </w:num>
  <w:num w:numId="4" w16cid:durableId="945112549">
    <w:abstractNumId w:val="6"/>
  </w:num>
  <w:num w:numId="5" w16cid:durableId="1690109031">
    <w:abstractNumId w:val="5"/>
  </w:num>
  <w:num w:numId="6" w16cid:durableId="1986162264">
    <w:abstractNumId w:val="4"/>
  </w:num>
  <w:num w:numId="7" w16cid:durableId="1840268712">
    <w:abstractNumId w:val="8"/>
  </w:num>
  <w:num w:numId="8" w16cid:durableId="152572346">
    <w:abstractNumId w:val="3"/>
  </w:num>
  <w:num w:numId="9" w16cid:durableId="1808624285">
    <w:abstractNumId w:val="2"/>
  </w:num>
  <w:num w:numId="10" w16cid:durableId="1760566012">
    <w:abstractNumId w:val="1"/>
  </w:num>
  <w:num w:numId="11" w16cid:durableId="1130517527">
    <w:abstractNumId w:val="0"/>
  </w:num>
  <w:num w:numId="12" w16cid:durableId="2012484897">
    <w:abstractNumId w:val="10"/>
  </w:num>
  <w:num w:numId="13" w16cid:durableId="1213419529">
    <w:abstractNumId w:val="40"/>
  </w:num>
  <w:num w:numId="14" w16cid:durableId="1515534978">
    <w:abstractNumId w:val="19"/>
  </w:num>
  <w:num w:numId="15" w16cid:durableId="191773592">
    <w:abstractNumId w:val="32"/>
  </w:num>
  <w:num w:numId="16" w16cid:durableId="888036671">
    <w:abstractNumId w:val="98"/>
  </w:num>
  <w:num w:numId="17" w16cid:durableId="232618136">
    <w:abstractNumId w:val="69"/>
  </w:num>
  <w:num w:numId="18" w16cid:durableId="197934676">
    <w:abstractNumId w:val="87"/>
  </w:num>
  <w:num w:numId="19" w16cid:durableId="145516655">
    <w:abstractNumId w:val="108"/>
  </w:num>
  <w:num w:numId="20" w16cid:durableId="1476142328">
    <w:abstractNumId w:val="101"/>
  </w:num>
  <w:num w:numId="21" w16cid:durableId="1157498721">
    <w:abstractNumId w:val="100"/>
  </w:num>
  <w:num w:numId="22" w16cid:durableId="982464012">
    <w:abstractNumId w:val="110"/>
  </w:num>
  <w:num w:numId="23" w16cid:durableId="1087769137">
    <w:abstractNumId w:val="21"/>
  </w:num>
  <w:num w:numId="24" w16cid:durableId="1421102729">
    <w:abstractNumId w:val="25"/>
  </w:num>
  <w:num w:numId="25" w16cid:durableId="503865182">
    <w:abstractNumId w:val="118"/>
  </w:num>
  <w:num w:numId="26" w16cid:durableId="1961379112">
    <w:abstractNumId w:val="73"/>
  </w:num>
  <w:num w:numId="27" w16cid:durableId="895747355">
    <w:abstractNumId w:val="59"/>
  </w:num>
  <w:num w:numId="28" w16cid:durableId="1741828099">
    <w:abstractNumId w:val="11"/>
  </w:num>
  <w:num w:numId="29" w16cid:durableId="499662182">
    <w:abstractNumId w:val="72"/>
  </w:num>
  <w:num w:numId="30" w16cid:durableId="1416244095">
    <w:abstractNumId w:val="60"/>
  </w:num>
  <w:num w:numId="31" w16cid:durableId="1620263337">
    <w:abstractNumId w:val="120"/>
  </w:num>
  <w:num w:numId="32" w16cid:durableId="2028173716">
    <w:abstractNumId w:val="105"/>
  </w:num>
  <w:num w:numId="33" w16cid:durableId="1864635566">
    <w:abstractNumId w:val="144"/>
  </w:num>
  <w:num w:numId="34" w16cid:durableId="595217155">
    <w:abstractNumId w:val="88"/>
  </w:num>
  <w:num w:numId="35" w16cid:durableId="1133206280">
    <w:abstractNumId w:val="41"/>
  </w:num>
  <w:num w:numId="36" w16cid:durableId="611668418">
    <w:abstractNumId w:val="131"/>
  </w:num>
  <w:num w:numId="37" w16cid:durableId="783309482">
    <w:abstractNumId w:val="64"/>
  </w:num>
  <w:num w:numId="38" w16cid:durableId="1063215625">
    <w:abstractNumId w:val="31"/>
  </w:num>
  <w:num w:numId="39" w16cid:durableId="1250577757">
    <w:abstractNumId w:val="132"/>
  </w:num>
  <w:num w:numId="40" w16cid:durableId="1577933228">
    <w:abstractNumId w:val="142"/>
  </w:num>
  <w:num w:numId="41" w16cid:durableId="685642184">
    <w:abstractNumId w:val="13"/>
  </w:num>
  <w:num w:numId="42" w16cid:durableId="821241158">
    <w:abstractNumId w:val="66"/>
  </w:num>
  <w:num w:numId="43" w16cid:durableId="1425565994">
    <w:abstractNumId w:val="128"/>
  </w:num>
  <w:num w:numId="44" w16cid:durableId="598873729">
    <w:abstractNumId w:val="146"/>
  </w:num>
  <w:num w:numId="45" w16cid:durableId="115560952">
    <w:abstractNumId w:val="109"/>
  </w:num>
  <w:num w:numId="46" w16cid:durableId="2061008548">
    <w:abstractNumId w:val="75"/>
  </w:num>
  <w:num w:numId="47" w16cid:durableId="1755784444">
    <w:abstractNumId w:val="94"/>
  </w:num>
  <w:num w:numId="48" w16cid:durableId="210771647">
    <w:abstractNumId w:val="76"/>
  </w:num>
  <w:num w:numId="49" w16cid:durableId="580674704">
    <w:abstractNumId w:val="111"/>
  </w:num>
  <w:num w:numId="50" w16cid:durableId="161702660">
    <w:abstractNumId w:val="137"/>
  </w:num>
  <w:num w:numId="51" w16cid:durableId="1653950374">
    <w:abstractNumId w:val="129"/>
  </w:num>
  <w:num w:numId="52" w16cid:durableId="1294293184">
    <w:abstractNumId w:val="122"/>
  </w:num>
  <w:num w:numId="53" w16cid:durableId="1904557417">
    <w:abstractNumId w:val="46"/>
  </w:num>
  <w:num w:numId="54" w16cid:durableId="1916936683">
    <w:abstractNumId w:val="53"/>
  </w:num>
  <w:num w:numId="55" w16cid:durableId="1590775345">
    <w:abstractNumId w:val="51"/>
  </w:num>
  <w:num w:numId="56" w16cid:durableId="19204716">
    <w:abstractNumId w:val="37"/>
  </w:num>
  <w:num w:numId="57" w16cid:durableId="2115251073">
    <w:abstractNumId w:val="35"/>
  </w:num>
  <w:num w:numId="58" w16cid:durableId="1197308654">
    <w:abstractNumId w:val="136"/>
  </w:num>
  <w:num w:numId="59" w16cid:durableId="1556812970">
    <w:abstractNumId w:val="143"/>
  </w:num>
  <w:num w:numId="60" w16cid:durableId="1519347867">
    <w:abstractNumId w:val="115"/>
  </w:num>
  <w:num w:numId="61" w16cid:durableId="830752618">
    <w:abstractNumId w:val="14"/>
  </w:num>
  <w:num w:numId="62" w16cid:durableId="593561678">
    <w:abstractNumId w:val="114"/>
  </w:num>
  <w:num w:numId="63" w16cid:durableId="829712567">
    <w:abstractNumId w:val="112"/>
  </w:num>
  <w:num w:numId="64" w16cid:durableId="1768966431">
    <w:abstractNumId w:val="18"/>
  </w:num>
  <w:num w:numId="65" w16cid:durableId="1104879079">
    <w:abstractNumId w:val="78"/>
  </w:num>
  <w:num w:numId="66" w16cid:durableId="1915430700">
    <w:abstractNumId w:val="68"/>
  </w:num>
  <w:num w:numId="67" w16cid:durableId="696202199">
    <w:abstractNumId w:val="71"/>
  </w:num>
  <w:num w:numId="68" w16cid:durableId="660081076">
    <w:abstractNumId w:val="139"/>
  </w:num>
  <w:num w:numId="69" w16cid:durableId="944458433">
    <w:abstractNumId w:val="42"/>
  </w:num>
  <w:num w:numId="70" w16cid:durableId="217059729">
    <w:abstractNumId w:val="55"/>
  </w:num>
  <w:num w:numId="71" w16cid:durableId="1481918242">
    <w:abstractNumId w:val="15"/>
  </w:num>
  <w:num w:numId="72" w16cid:durableId="525826074">
    <w:abstractNumId w:val="84"/>
  </w:num>
  <w:num w:numId="73" w16cid:durableId="1011293837">
    <w:abstractNumId w:val="77"/>
  </w:num>
  <w:num w:numId="74" w16cid:durableId="1688680318">
    <w:abstractNumId w:val="48"/>
  </w:num>
  <w:num w:numId="75" w16cid:durableId="1297417301">
    <w:abstractNumId w:val="92"/>
  </w:num>
  <w:num w:numId="76" w16cid:durableId="328562983">
    <w:abstractNumId w:val="30"/>
  </w:num>
  <w:num w:numId="77" w16cid:durableId="1947958622">
    <w:abstractNumId w:val="22"/>
  </w:num>
  <w:num w:numId="78" w16cid:durableId="1165318677">
    <w:abstractNumId w:val="50"/>
  </w:num>
  <w:num w:numId="79" w16cid:durableId="2000617578">
    <w:abstractNumId w:val="117"/>
  </w:num>
  <w:num w:numId="80" w16cid:durableId="587155961">
    <w:abstractNumId w:val="36"/>
  </w:num>
  <w:num w:numId="81" w16cid:durableId="105390795">
    <w:abstractNumId w:val="27"/>
  </w:num>
  <w:num w:numId="82" w16cid:durableId="1604999220">
    <w:abstractNumId w:val="107"/>
  </w:num>
  <w:num w:numId="83" w16cid:durableId="706564940">
    <w:abstractNumId w:val="20"/>
  </w:num>
  <w:num w:numId="84" w16cid:durableId="834227129">
    <w:abstractNumId w:val="130"/>
  </w:num>
  <w:num w:numId="85" w16cid:durableId="1163819084">
    <w:abstractNumId w:val="33"/>
  </w:num>
  <w:num w:numId="86" w16cid:durableId="1557083749">
    <w:abstractNumId w:val="56"/>
  </w:num>
  <w:num w:numId="87" w16cid:durableId="1587498651">
    <w:abstractNumId w:val="91"/>
  </w:num>
  <w:num w:numId="88" w16cid:durableId="539319699">
    <w:abstractNumId w:val="134"/>
  </w:num>
  <w:num w:numId="89" w16cid:durableId="662515357">
    <w:abstractNumId w:val="96"/>
  </w:num>
  <w:num w:numId="90" w16cid:durableId="1588882368">
    <w:abstractNumId w:val="70"/>
  </w:num>
  <w:num w:numId="91" w16cid:durableId="1743798801">
    <w:abstractNumId w:val="140"/>
  </w:num>
  <w:num w:numId="92" w16cid:durableId="1767341632">
    <w:abstractNumId w:val="61"/>
  </w:num>
  <w:num w:numId="93" w16cid:durableId="404226396">
    <w:abstractNumId w:val="90"/>
  </w:num>
  <w:num w:numId="94" w16cid:durableId="682317371">
    <w:abstractNumId w:val="141"/>
  </w:num>
  <w:num w:numId="95" w16cid:durableId="1673795644">
    <w:abstractNumId w:val="113"/>
  </w:num>
  <w:num w:numId="96" w16cid:durableId="997419672">
    <w:abstractNumId w:val="124"/>
  </w:num>
  <w:num w:numId="97" w16cid:durableId="1617181092">
    <w:abstractNumId w:val="86"/>
  </w:num>
  <w:num w:numId="98" w16cid:durableId="1447457456">
    <w:abstractNumId w:val="133"/>
  </w:num>
  <w:num w:numId="99" w16cid:durableId="802385033">
    <w:abstractNumId w:val="43"/>
  </w:num>
  <w:num w:numId="100" w16cid:durableId="1026755601">
    <w:abstractNumId w:val="135"/>
  </w:num>
  <w:num w:numId="101" w16cid:durableId="538247977">
    <w:abstractNumId w:val="12"/>
  </w:num>
  <w:num w:numId="102" w16cid:durableId="1911230628">
    <w:abstractNumId w:val="123"/>
  </w:num>
  <w:num w:numId="103" w16cid:durableId="708145949">
    <w:abstractNumId w:val="44"/>
  </w:num>
  <w:num w:numId="104" w16cid:durableId="1898125738">
    <w:abstractNumId w:val="47"/>
  </w:num>
  <w:num w:numId="105" w16cid:durableId="1297251937">
    <w:abstractNumId w:val="28"/>
  </w:num>
  <w:num w:numId="106" w16cid:durableId="1114667242">
    <w:abstractNumId w:val="104"/>
  </w:num>
  <w:num w:numId="107" w16cid:durableId="1407261150">
    <w:abstractNumId w:val="67"/>
  </w:num>
  <w:num w:numId="108" w16cid:durableId="1635674153">
    <w:abstractNumId w:val="125"/>
  </w:num>
  <w:num w:numId="109" w16cid:durableId="1765959331">
    <w:abstractNumId w:val="145"/>
  </w:num>
  <w:num w:numId="110" w16cid:durableId="1850173509">
    <w:abstractNumId w:val="29"/>
  </w:num>
  <w:num w:numId="111" w16cid:durableId="638731277">
    <w:abstractNumId w:val="62"/>
  </w:num>
  <w:num w:numId="112" w16cid:durableId="33769813">
    <w:abstractNumId w:val="52"/>
  </w:num>
  <w:num w:numId="113" w16cid:durableId="502668224">
    <w:abstractNumId w:val="65"/>
  </w:num>
  <w:num w:numId="114" w16cid:durableId="1575747853">
    <w:abstractNumId w:val="89"/>
  </w:num>
  <w:num w:numId="115" w16cid:durableId="410850905">
    <w:abstractNumId w:val="63"/>
  </w:num>
  <w:num w:numId="116" w16cid:durableId="1566843059">
    <w:abstractNumId w:val="103"/>
  </w:num>
  <w:num w:numId="117" w16cid:durableId="1995182642">
    <w:abstractNumId w:val="116"/>
  </w:num>
  <w:num w:numId="118" w16cid:durableId="617183021">
    <w:abstractNumId w:val="82"/>
  </w:num>
  <w:num w:numId="119" w16cid:durableId="1642878248">
    <w:abstractNumId w:val="102"/>
  </w:num>
  <w:num w:numId="120" w16cid:durableId="1828352924">
    <w:abstractNumId w:val="121"/>
  </w:num>
  <w:num w:numId="121" w16cid:durableId="1176917536">
    <w:abstractNumId w:val="39"/>
  </w:num>
  <w:num w:numId="122" w16cid:durableId="1648776108">
    <w:abstractNumId w:val="83"/>
  </w:num>
  <w:num w:numId="123" w16cid:durableId="312176816">
    <w:abstractNumId w:val="99"/>
  </w:num>
  <w:num w:numId="124" w16cid:durableId="1405646025">
    <w:abstractNumId w:val="23"/>
  </w:num>
  <w:num w:numId="125" w16cid:durableId="1664308441">
    <w:abstractNumId w:val="138"/>
  </w:num>
  <w:num w:numId="126" w16cid:durableId="649410151">
    <w:abstractNumId w:val="38"/>
  </w:num>
  <w:num w:numId="127" w16cid:durableId="346252220">
    <w:abstractNumId w:val="126"/>
  </w:num>
  <w:num w:numId="128" w16cid:durableId="646010291">
    <w:abstractNumId w:val="93"/>
  </w:num>
  <w:num w:numId="129" w16cid:durableId="1594435493">
    <w:abstractNumId w:val="45"/>
  </w:num>
  <w:num w:numId="130" w16cid:durableId="1576042317">
    <w:abstractNumId w:val="34"/>
  </w:num>
  <w:num w:numId="131" w16cid:durableId="752119937">
    <w:abstractNumId w:val="81"/>
  </w:num>
  <w:num w:numId="132" w16cid:durableId="33584650">
    <w:abstractNumId w:val="24"/>
  </w:num>
  <w:num w:numId="133" w16cid:durableId="959724546">
    <w:abstractNumId w:val="57"/>
  </w:num>
  <w:num w:numId="134" w16cid:durableId="817572873">
    <w:abstractNumId w:val="74"/>
  </w:num>
  <w:num w:numId="135" w16cid:durableId="1586722389">
    <w:abstractNumId w:val="26"/>
  </w:num>
  <w:num w:numId="136" w16cid:durableId="85155984">
    <w:abstractNumId w:val="80"/>
  </w:num>
  <w:num w:numId="137" w16cid:durableId="1549561762">
    <w:abstractNumId w:val="79"/>
  </w:num>
  <w:num w:numId="138" w16cid:durableId="1880513296">
    <w:abstractNumId w:val="127"/>
  </w:num>
  <w:num w:numId="139" w16cid:durableId="1988053738">
    <w:abstractNumId w:val="49"/>
  </w:num>
  <w:num w:numId="140" w16cid:durableId="1975329558">
    <w:abstractNumId w:val="106"/>
  </w:num>
  <w:num w:numId="141" w16cid:durableId="1189682039">
    <w:abstractNumId w:val="97"/>
  </w:num>
  <w:num w:numId="142" w16cid:durableId="402533061">
    <w:abstractNumId w:val="85"/>
  </w:num>
  <w:num w:numId="143" w16cid:durableId="1262496237">
    <w:abstractNumId w:val="119"/>
  </w:num>
  <w:num w:numId="144" w16cid:durableId="324865682">
    <w:abstractNumId w:val="58"/>
  </w:num>
  <w:num w:numId="145" w16cid:durableId="733238149">
    <w:abstractNumId w:val="16"/>
  </w:num>
  <w:num w:numId="146" w16cid:durableId="2141998927">
    <w:abstractNumId w:val="54"/>
  </w:num>
  <w:num w:numId="147" w16cid:durableId="954211914">
    <w:abstractNumId w:val="1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2752"/>
    <w:rsid w:val="000050F1"/>
    <w:rsid w:val="000056CF"/>
    <w:rsid w:val="00006942"/>
    <w:rsid w:val="00007E6C"/>
    <w:rsid w:val="000105BD"/>
    <w:rsid w:val="000133D2"/>
    <w:rsid w:val="00020EFC"/>
    <w:rsid w:val="0002137C"/>
    <w:rsid w:val="00021646"/>
    <w:rsid w:val="00022B6C"/>
    <w:rsid w:val="000325A2"/>
    <w:rsid w:val="00035791"/>
    <w:rsid w:val="000376BF"/>
    <w:rsid w:val="00042365"/>
    <w:rsid w:val="00044329"/>
    <w:rsid w:val="0004458A"/>
    <w:rsid w:val="000461A8"/>
    <w:rsid w:val="00050AB7"/>
    <w:rsid w:val="00060984"/>
    <w:rsid w:val="00062A71"/>
    <w:rsid w:val="0006301F"/>
    <w:rsid w:val="00066C8A"/>
    <w:rsid w:val="00071AC9"/>
    <w:rsid w:val="000734F4"/>
    <w:rsid w:val="00074522"/>
    <w:rsid w:val="00075114"/>
    <w:rsid w:val="00076DE8"/>
    <w:rsid w:val="00077C5E"/>
    <w:rsid w:val="00080550"/>
    <w:rsid w:val="0008115E"/>
    <w:rsid w:val="00082611"/>
    <w:rsid w:val="0008681C"/>
    <w:rsid w:val="00087A4F"/>
    <w:rsid w:val="00090D9A"/>
    <w:rsid w:val="000927B1"/>
    <w:rsid w:val="000927F0"/>
    <w:rsid w:val="00096E2A"/>
    <w:rsid w:val="000A207F"/>
    <w:rsid w:val="000A4943"/>
    <w:rsid w:val="000A5B03"/>
    <w:rsid w:val="000A643C"/>
    <w:rsid w:val="000B01EE"/>
    <w:rsid w:val="000B10A0"/>
    <w:rsid w:val="000B2FFE"/>
    <w:rsid w:val="000B485C"/>
    <w:rsid w:val="000B4947"/>
    <w:rsid w:val="000B4F60"/>
    <w:rsid w:val="000B5476"/>
    <w:rsid w:val="000C109B"/>
    <w:rsid w:val="000C1C34"/>
    <w:rsid w:val="000C41A0"/>
    <w:rsid w:val="000C4717"/>
    <w:rsid w:val="000C74D9"/>
    <w:rsid w:val="000C7C7B"/>
    <w:rsid w:val="000D2A1F"/>
    <w:rsid w:val="000D6B44"/>
    <w:rsid w:val="000E1047"/>
    <w:rsid w:val="000E36E1"/>
    <w:rsid w:val="000E3B50"/>
    <w:rsid w:val="000E7D40"/>
    <w:rsid w:val="000F309D"/>
    <w:rsid w:val="000F359B"/>
    <w:rsid w:val="000F56BF"/>
    <w:rsid w:val="000F59C5"/>
    <w:rsid w:val="000F6DA9"/>
    <w:rsid w:val="001030B2"/>
    <w:rsid w:val="00105397"/>
    <w:rsid w:val="00105EFD"/>
    <w:rsid w:val="0010617F"/>
    <w:rsid w:val="0011553D"/>
    <w:rsid w:val="00117EA3"/>
    <w:rsid w:val="00124A6A"/>
    <w:rsid w:val="00130A8A"/>
    <w:rsid w:val="001332B9"/>
    <w:rsid w:val="00134A40"/>
    <w:rsid w:val="001378A8"/>
    <w:rsid w:val="00141914"/>
    <w:rsid w:val="00144DB2"/>
    <w:rsid w:val="00146C80"/>
    <w:rsid w:val="001501AE"/>
    <w:rsid w:val="0015229C"/>
    <w:rsid w:val="0016130A"/>
    <w:rsid w:val="001615EA"/>
    <w:rsid w:val="00165FCC"/>
    <w:rsid w:val="00167160"/>
    <w:rsid w:val="0017018D"/>
    <w:rsid w:val="001744EF"/>
    <w:rsid w:val="001768D3"/>
    <w:rsid w:val="00181121"/>
    <w:rsid w:val="00185F4D"/>
    <w:rsid w:val="00187893"/>
    <w:rsid w:val="001921EE"/>
    <w:rsid w:val="00193754"/>
    <w:rsid w:val="00193A89"/>
    <w:rsid w:val="001942DA"/>
    <w:rsid w:val="00194987"/>
    <w:rsid w:val="0019767F"/>
    <w:rsid w:val="00197CE3"/>
    <w:rsid w:val="001A34B0"/>
    <w:rsid w:val="001A5B51"/>
    <w:rsid w:val="001A6F90"/>
    <w:rsid w:val="001B0DB5"/>
    <w:rsid w:val="001B201F"/>
    <w:rsid w:val="001B2FC2"/>
    <w:rsid w:val="001B5829"/>
    <w:rsid w:val="001B62E2"/>
    <w:rsid w:val="001C0D7A"/>
    <w:rsid w:val="001C3753"/>
    <w:rsid w:val="001C52F7"/>
    <w:rsid w:val="001C63CB"/>
    <w:rsid w:val="001C74AA"/>
    <w:rsid w:val="001C76E3"/>
    <w:rsid w:val="001C7A57"/>
    <w:rsid w:val="001D0C0A"/>
    <w:rsid w:val="001E018B"/>
    <w:rsid w:val="001E1F61"/>
    <w:rsid w:val="001F20DA"/>
    <w:rsid w:val="001F5998"/>
    <w:rsid w:val="00200528"/>
    <w:rsid w:val="00202A5D"/>
    <w:rsid w:val="002032A7"/>
    <w:rsid w:val="0020515F"/>
    <w:rsid w:val="002108D1"/>
    <w:rsid w:val="00212181"/>
    <w:rsid w:val="0022116A"/>
    <w:rsid w:val="0022143D"/>
    <w:rsid w:val="0022219F"/>
    <w:rsid w:val="00226DB9"/>
    <w:rsid w:val="00230243"/>
    <w:rsid w:val="0024190C"/>
    <w:rsid w:val="00242185"/>
    <w:rsid w:val="00250B99"/>
    <w:rsid w:val="00252943"/>
    <w:rsid w:val="00257BF4"/>
    <w:rsid w:val="0026359E"/>
    <w:rsid w:val="0026584B"/>
    <w:rsid w:val="00265B60"/>
    <w:rsid w:val="00275068"/>
    <w:rsid w:val="0028038C"/>
    <w:rsid w:val="00280663"/>
    <w:rsid w:val="00280E8E"/>
    <w:rsid w:val="002812DE"/>
    <w:rsid w:val="00281F6F"/>
    <w:rsid w:val="00284F2F"/>
    <w:rsid w:val="00285018"/>
    <w:rsid w:val="00286048"/>
    <w:rsid w:val="002864D2"/>
    <w:rsid w:val="00287B21"/>
    <w:rsid w:val="00291991"/>
    <w:rsid w:val="00293611"/>
    <w:rsid w:val="002938D4"/>
    <w:rsid w:val="00293A66"/>
    <w:rsid w:val="002964E2"/>
    <w:rsid w:val="00297ACB"/>
    <w:rsid w:val="00297C04"/>
    <w:rsid w:val="002A1F93"/>
    <w:rsid w:val="002A683B"/>
    <w:rsid w:val="002A6A0B"/>
    <w:rsid w:val="002A756C"/>
    <w:rsid w:val="002B3C2C"/>
    <w:rsid w:val="002B5103"/>
    <w:rsid w:val="002B54B0"/>
    <w:rsid w:val="002B5F27"/>
    <w:rsid w:val="002B6D51"/>
    <w:rsid w:val="002B7633"/>
    <w:rsid w:val="002B7F94"/>
    <w:rsid w:val="002C39D0"/>
    <w:rsid w:val="002C5125"/>
    <w:rsid w:val="002D0063"/>
    <w:rsid w:val="002E3AA0"/>
    <w:rsid w:val="002E3FC4"/>
    <w:rsid w:val="002E5E07"/>
    <w:rsid w:val="002F00EF"/>
    <w:rsid w:val="002F4FDF"/>
    <w:rsid w:val="002F64C9"/>
    <w:rsid w:val="003010FE"/>
    <w:rsid w:val="003024A3"/>
    <w:rsid w:val="00302F5A"/>
    <w:rsid w:val="003118FD"/>
    <w:rsid w:val="00314EB8"/>
    <w:rsid w:val="0031653A"/>
    <w:rsid w:val="00316B55"/>
    <w:rsid w:val="00321740"/>
    <w:rsid w:val="00322D94"/>
    <w:rsid w:val="003237AF"/>
    <w:rsid w:val="00323BFE"/>
    <w:rsid w:val="00330BC0"/>
    <w:rsid w:val="003328AB"/>
    <w:rsid w:val="00332AAF"/>
    <w:rsid w:val="00333291"/>
    <w:rsid w:val="003362FC"/>
    <w:rsid w:val="003364F2"/>
    <w:rsid w:val="00340D84"/>
    <w:rsid w:val="00341AD2"/>
    <w:rsid w:val="00345B28"/>
    <w:rsid w:val="00347FF1"/>
    <w:rsid w:val="003517C4"/>
    <w:rsid w:val="00352D2D"/>
    <w:rsid w:val="00354A58"/>
    <w:rsid w:val="00356F19"/>
    <w:rsid w:val="00357267"/>
    <w:rsid w:val="00360A68"/>
    <w:rsid w:val="0036164A"/>
    <w:rsid w:val="00363513"/>
    <w:rsid w:val="00364424"/>
    <w:rsid w:val="003644B8"/>
    <w:rsid w:val="00364DB1"/>
    <w:rsid w:val="003700EB"/>
    <w:rsid w:val="00372357"/>
    <w:rsid w:val="00376A18"/>
    <w:rsid w:val="003911A9"/>
    <w:rsid w:val="003949A2"/>
    <w:rsid w:val="003955EF"/>
    <w:rsid w:val="00395C3E"/>
    <w:rsid w:val="00397138"/>
    <w:rsid w:val="003A1BB1"/>
    <w:rsid w:val="003A4859"/>
    <w:rsid w:val="003A6970"/>
    <w:rsid w:val="003A758A"/>
    <w:rsid w:val="003B2FAB"/>
    <w:rsid w:val="003B31A9"/>
    <w:rsid w:val="003B3C16"/>
    <w:rsid w:val="003C0576"/>
    <w:rsid w:val="003C4B02"/>
    <w:rsid w:val="003C6D77"/>
    <w:rsid w:val="003C72B1"/>
    <w:rsid w:val="003D4421"/>
    <w:rsid w:val="003D5053"/>
    <w:rsid w:val="003D589D"/>
    <w:rsid w:val="003D5FDF"/>
    <w:rsid w:val="003E083D"/>
    <w:rsid w:val="003E159C"/>
    <w:rsid w:val="003E3EB7"/>
    <w:rsid w:val="003E6C82"/>
    <w:rsid w:val="003E7BA0"/>
    <w:rsid w:val="003F3B31"/>
    <w:rsid w:val="003F5B65"/>
    <w:rsid w:val="003F6485"/>
    <w:rsid w:val="0040055B"/>
    <w:rsid w:val="0040073C"/>
    <w:rsid w:val="0040377A"/>
    <w:rsid w:val="00404B49"/>
    <w:rsid w:val="004057CC"/>
    <w:rsid w:val="004078EF"/>
    <w:rsid w:val="00410366"/>
    <w:rsid w:val="00414C12"/>
    <w:rsid w:val="00414FD5"/>
    <w:rsid w:val="004170AB"/>
    <w:rsid w:val="00420CB3"/>
    <w:rsid w:val="0042516E"/>
    <w:rsid w:val="00430D4B"/>
    <w:rsid w:val="00431D77"/>
    <w:rsid w:val="00434CE0"/>
    <w:rsid w:val="00437459"/>
    <w:rsid w:val="004410F8"/>
    <w:rsid w:val="004427D6"/>
    <w:rsid w:val="0044418A"/>
    <w:rsid w:val="00444B30"/>
    <w:rsid w:val="00451D3E"/>
    <w:rsid w:val="004528A1"/>
    <w:rsid w:val="00453314"/>
    <w:rsid w:val="00453655"/>
    <w:rsid w:val="00454C19"/>
    <w:rsid w:val="00455431"/>
    <w:rsid w:val="00455B1D"/>
    <w:rsid w:val="0046274C"/>
    <w:rsid w:val="00463B0B"/>
    <w:rsid w:val="00471A8C"/>
    <w:rsid w:val="0047367B"/>
    <w:rsid w:val="00481F1D"/>
    <w:rsid w:val="0049046B"/>
    <w:rsid w:val="00493461"/>
    <w:rsid w:val="00494439"/>
    <w:rsid w:val="00497A23"/>
    <w:rsid w:val="004A15DC"/>
    <w:rsid w:val="004B2FF8"/>
    <w:rsid w:val="004B346A"/>
    <w:rsid w:val="004B5CC6"/>
    <w:rsid w:val="004B7D04"/>
    <w:rsid w:val="004C031C"/>
    <w:rsid w:val="004C0F07"/>
    <w:rsid w:val="004C699C"/>
    <w:rsid w:val="004C7995"/>
    <w:rsid w:val="004D12C7"/>
    <w:rsid w:val="004D28BB"/>
    <w:rsid w:val="004D291F"/>
    <w:rsid w:val="004E1B01"/>
    <w:rsid w:val="004E3887"/>
    <w:rsid w:val="004E5548"/>
    <w:rsid w:val="004F0DD8"/>
    <w:rsid w:val="004F4017"/>
    <w:rsid w:val="004F6309"/>
    <w:rsid w:val="004F6E00"/>
    <w:rsid w:val="00500D28"/>
    <w:rsid w:val="00500F1D"/>
    <w:rsid w:val="0050396D"/>
    <w:rsid w:val="00503A46"/>
    <w:rsid w:val="00503F6C"/>
    <w:rsid w:val="0050438D"/>
    <w:rsid w:val="005079BF"/>
    <w:rsid w:val="0051242B"/>
    <w:rsid w:val="005124A4"/>
    <w:rsid w:val="00512570"/>
    <w:rsid w:val="005200DF"/>
    <w:rsid w:val="00522A00"/>
    <w:rsid w:val="00522D36"/>
    <w:rsid w:val="00524869"/>
    <w:rsid w:val="00525DDF"/>
    <w:rsid w:val="00526BC0"/>
    <w:rsid w:val="00531816"/>
    <w:rsid w:val="00531D1E"/>
    <w:rsid w:val="00531FC7"/>
    <w:rsid w:val="00532CBC"/>
    <w:rsid w:val="0053362F"/>
    <w:rsid w:val="005343D1"/>
    <w:rsid w:val="00534446"/>
    <w:rsid w:val="00535168"/>
    <w:rsid w:val="005372C3"/>
    <w:rsid w:val="00540D3F"/>
    <w:rsid w:val="0054255F"/>
    <w:rsid w:val="005478DB"/>
    <w:rsid w:val="00556E16"/>
    <w:rsid w:val="005602AF"/>
    <w:rsid w:val="005629C8"/>
    <w:rsid w:val="005637EA"/>
    <w:rsid w:val="0056385E"/>
    <w:rsid w:val="005646DE"/>
    <w:rsid w:val="00564918"/>
    <w:rsid w:val="00567D01"/>
    <w:rsid w:val="00570F1C"/>
    <w:rsid w:val="005717D9"/>
    <w:rsid w:val="00571B88"/>
    <w:rsid w:val="00573C2B"/>
    <w:rsid w:val="005743F7"/>
    <w:rsid w:val="005745C7"/>
    <w:rsid w:val="00577C56"/>
    <w:rsid w:val="00581269"/>
    <w:rsid w:val="00582E3D"/>
    <w:rsid w:val="00582F75"/>
    <w:rsid w:val="005842D4"/>
    <w:rsid w:val="00586C2E"/>
    <w:rsid w:val="005876C4"/>
    <w:rsid w:val="00592118"/>
    <w:rsid w:val="005947A3"/>
    <w:rsid w:val="0059512E"/>
    <w:rsid w:val="00595142"/>
    <w:rsid w:val="00595F40"/>
    <w:rsid w:val="0059758F"/>
    <w:rsid w:val="005A4B1F"/>
    <w:rsid w:val="005A4CD2"/>
    <w:rsid w:val="005A4E82"/>
    <w:rsid w:val="005A5201"/>
    <w:rsid w:val="005A5F3A"/>
    <w:rsid w:val="005B0752"/>
    <w:rsid w:val="005B0C83"/>
    <w:rsid w:val="005B6340"/>
    <w:rsid w:val="005B75C9"/>
    <w:rsid w:val="005C1524"/>
    <w:rsid w:val="005C3374"/>
    <w:rsid w:val="005C7876"/>
    <w:rsid w:val="005D116F"/>
    <w:rsid w:val="005D642C"/>
    <w:rsid w:val="005D688C"/>
    <w:rsid w:val="005D7DE7"/>
    <w:rsid w:val="005E0523"/>
    <w:rsid w:val="005E3DE7"/>
    <w:rsid w:val="005E62CC"/>
    <w:rsid w:val="005F076A"/>
    <w:rsid w:val="005F091A"/>
    <w:rsid w:val="005F5FB8"/>
    <w:rsid w:val="005F7137"/>
    <w:rsid w:val="005F79D8"/>
    <w:rsid w:val="0060099D"/>
    <w:rsid w:val="006038E1"/>
    <w:rsid w:val="0060484B"/>
    <w:rsid w:val="00611F1D"/>
    <w:rsid w:val="00613B1F"/>
    <w:rsid w:val="00616218"/>
    <w:rsid w:val="00620B32"/>
    <w:rsid w:val="00620FCD"/>
    <w:rsid w:val="00623330"/>
    <w:rsid w:val="006238A9"/>
    <w:rsid w:val="00625E58"/>
    <w:rsid w:val="00630DA9"/>
    <w:rsid w:val="00632081"/>
    <w:rsid w:val="00632DDE"/>
    <w:rsid w:val="0063341F"/>
    <w:rsid w:val="0063680C"/>
    <w:rsid w:val="00636989"/>
    <w:rsid w:val="006403DE"/>
    <w:rsid w:val="006446D1"/>
    <w:rsid w:val="00644903"/>
    <w:rsid w:val="00645FE3"/>
    <w:rsid w:val="0064758E"/>
    <w:rsid w:val="00652919"/>
    <w:rsid w:val="00655BBF"/>
    <w:rsid w:val="00655D0E"/>
    <w:rsid w:val="0065646C"/>
    <w:rsid w:val="00661D04"/>
    <w:rsid w:val="00662154"/>
    <w:rsid w:val="00663E24"/>
    <w:rsid w:val="006670AE"/>
    <w:rsid w:val="00671500"/>
    <w:rsid w:val="00671CCF"/>
    <w:rsid w:val="006723DD"/>
    <w:rsid w:val="006745D2"/>
    <w:rsid w:val="006753CA"/>
    <w:rsid w:val="006759B7"/>
    <w:rsid w:val="00676428"/>
    <w:rsid w:val="00676D83"/>
    <w:rsid w:val="00684109"/>
    <w:rsid w:val="00684B4C"/>
    <w:rsid w:val="006854B4"/>
    <w:rsid w:val="0068683E"/>
    <w:rsid w:val="00687E51"/>
    <w:rsid w:val="006937B8"/>
    <w:rsid w:val="00693C06"/>
    <w:rsid w:val="00693E20"/>
    <w:rsid w:val="006A08B7"/>
    <w:rsid w:val="006A3AF3"/>
    <w:rsid w:val="006A3BA2"/>
    <w:rsid w:val="006A7028"/>
    <w:rsid w:val="006B07D7"/>
    <w:rsid w:val="006B204F"/>
    <w:rsid w:val="006B41B8"/>
    <w:rsid w:val="006B61E4"/>
    <w:rsid w:val="006B651A"/>
    <w:rsid w:val="006B685D"/>
    <w:rsid w:val="006B78FE"/>
    <w:rsid w:val="006B7B35"/>
    <w:rsid w:val="006C0F57"/>
    <w:rsid w:val="006C5D6E"/>
    <w:rsid w:val="006D0159"/>
    <w:rsid w:val="006D1C7A"/>
    <w:rsid w:val="006D2357"/>
    <w:rsid w:val="006D29C4"/>
    <w:rsid w:val="006D389B"/>
    <w:rsid w:val="006D42E8"/>
    <w:rsid w:val="006D452D"/>
    <w:rsid w:val="006D5FCE"/>
    <w:rsid w:val="006E01A3"/>
    <w:rsid w:val="006E5544"/>
    <w:rsid w:val="006E683C"/>
    <w:rsid w:val="006F174E"/>
    <w:rsid w:val="006F23A1"/>
    <w:rsid w:val="006F379E"/>
    <w:rsid w:val="006F3B58"/>
    <w:rsid w:val="006F41EE"/>
    <w:rsid w:val="006F4E2E"/>
    <w:rsid w:val="006F60D6"/>
    <w:rsid w:val="006F6ED7"/>
    <w:rsid w:val="00702BDC"/>
    <w:rsid w:val="00702E10"/>
    <w:rsid w:val="00703F24"/>
    <w:rsid w:val="00707CED"/>
    <w:rsid w:val="00711876"/>
    <w:rsid w:val="00717E75"/>
    <w:rsid w:val="00720173"/>
    <w:rsid w:val="0072197B"/>
    <w:rsid w:val="0072210F"/>
    <w:rsid w:val="0072426B"/>
    <w:rsid w:val="0072572A"/>
    <w:rsid w:val="00733B1B"/>
    <w:rsid w:val="00734FE0"/>
    <w:rsid w:val="0073566D"/>
    <w:rsid w:val="00737011"/>
    <w:rsid w:val="00737190"/>
    <w:rsid w:val="00743856"/>
    <w:rsid w:val="0074683D"/>
    <w:rsid w:val="007474B8"/>
    <w:rsid w:val="007544AE"/>
    <w:rsid w:val="007570A7"/>
    <w:rsid w:val="007615CE"/>
    <w:rsid w:val="00763036"/>
    <w:rsid w:val="00764017"/>
    <w:rsid w:val="00767A8F"/>
    <w:rsid w:val="0077098A"/>
    <w:rsid w:val="00771172"/>
    <w:rsid w:val="0077192A"/>
    <w:rsid w:val="00774A25"/>
    <w:rsid w:val="00781311"/>
    <w:rsid w:val="007820CB"/>
    <w:rsid w:val="00782865"/>
    <w:rsid w:val="007832D1"/>
    <w:rsid w:val="007849D5"/>
    <w:rsid w:val="00790A5A"/>
    <w:rsid w:val="00793B22"/>
    <w:rsid w:val="0079772F"/>
    <w:rsid w:val="007A131B"/>
    <w:rsid w:val="007A5E54"/>
    <w:rsid w:val="007A6E0D"/>
    <w:rsid w:val="007B0176"/>
    <w:rsid w:val="007B04E2"/>
    <w:rsid w:val="007B63A0"/>
    <w:rsid w:val="007B64F1"/>
    <w:rsid w:val="007B712D"/>
    <w:rsid w:val="007B7AA5"/>
    <w:rsid w:val="007D6EBF"/>
    <w:rsid w:val="007D7637"/>
    <w:rsid w:val="007E0E0B"/>
    <w:rsid w:val="007E49CC"/>
    <w:rsid w:val="007E6DEB"/>
    <w:rsid w:val="007F049B"/>
    <w:rsid w:val="007F2D1C"/>
    <w:rsid w:val="007F3380"/>
    <w:rsid w:val="007F39CC"/>
    <w:rsid w:val="00800A6A"/>
    <w:rsid w:val="0080480D"/>
    <w:rsid w:val="00804A21"/>
    <w:rsid w:val="008069E3"/>
    <w:rsid w:val="00810348"/>
    <w:rsid w:val="008106E1"/>
    <w:rsid w:val="008145E4"/>
    <w:rsid w:val="008146C1"/>
    <w:rsid w:val="00814B52"/>
    <w:rsid w:val="00815F59"/>
    <w:rsid w:val="00817308"/>
    <w:rsid w:val="0081742E"/>
    <w:rsid w:val="00825691"/>
    <w:rsid w:val="00825E0B"/>
    <w:rsid w:val="00827A5A"/>
    <w:rsid w:val="00830CF0"/>
    <w:rsid w:val="008324AE"/>
    <w:rsid w:val="008325D4"/>
    <w:rsid w:val="00836F97"/>
    <w:rsid w:val="00837020"/>
    <w:rsid w:val="00837F7D"/>
    <w:rsid w:val="00843A52"/>
    <w:rsid w:val="00845F21"/>
    <w:rsid w:val="0084715E"/>
    <w:rsid w:val="008472E0"/>
    <w:rsid w:val="00847A57"/>
    <w:rsid w:val="00851BAA"/>
    <w:rsid w:val="0085398F"/>
    <w:rsid w:val="0085581E"/>
    <w:rsid w:val="00855D20"/>
    <w:rsid w:val="00861ABF"/>
    <w:rsid w:val="00862936"/>
    <w:rsid w:val="00863BB8"/>
    <w:rsid w:val="00866A14"/>
    <w:rsid w:val="00871990"/>
    <w:rsid w:val="00871E46"/>
    <w:rsid w:val="00880D9D"/>
    <w:rsid w:val="008838A6"/>
    <w:rsid w:val="0088589A"/>
    <w:rsid w:val="008859DA"/>
    <w:rsid w:val="00886231"/>
    <w:rsid w:val="008875DB"/>
    <w:rsid w:val="00887A0A"/>
    <w:rsid w:val="00887A0E"/>
    <w:rsid w:val="008906FA"/>
    <w:rsid w:val="00891F6C"/>
    <w:rsid w:val="00893692"/>
    <w:rsid w:val="008945AB"/>
    <w:rsid w:val="008A290E"/>
    <w:rsid w:val="008A2974"/>
    <w:rsid w:val="008A7A72"/>
    <w:rsid w:val="008A7E45"/>
    <w:rsid w:val="008B1216"/>
    <w:rsid w:val="008B2E86"/>
    <w:rsid w:val="008B5D0B"/>
    <w:rsid w:val="008B77C1"/>
    <w:rsid w:val="008C05EA"/>
    <w:rsid w:val="008C0864"/>
    <w:rsid w:val="008C1E42"/>
    <w:rsid w:val="008C3CDC"/>
    <w:rsid w:val="008C6174"/>
    <w:rsid w:val="008D43E5"/>
    <w:rsid w:val="008D51AC"/>
    <w:rsid w:val="008D62EF"/>
    <w:rsid w:val="008E0E7D"/>
    <w:rsid w:val="008E1422"/>
    <w:rsid w:val="008E325D"/>
    <w:rsid w:val="008E4860"/>
    <w:rsid w:val="008E4E3B"/>
    <w:rsid w:val="008E67DA"/>
    <w:rsid w:val="008F03E2"/>
    <w:rsid w:val="008F0748"/>
    <w:rsid w:val="008F10CC"/>
    <w:rsid w:val="008F30DF"/>
    <w:rsid w:val="008F34AE"/>
    <w:rsid w:val="008F6A81"/>
    <w:rsid w:val="008F7050"/>
    <w:rsid w:val="00902E45"/>
    <w:rsid w:val="00905012"/>
    <w:rsid w:val="00906E7D"/>
    <w:rsid w:val="0091190B"/>
    <w:rsid w:val="00914F42"/>
    <w:rsid w:val="009150C0"/>
    <w:rsid w:val="00916BBB"/>
    <w:rsid w:val="00920FD1"/>
    <w:rsid w:val="00923C1A"/>
    <w:rsid w:val="00924508"/>
    <w:rsid w:val="009266CF"/>
    <w:rsid w:val="00926C0B"/>
    <w:rsid w:val="009306BC"/>
    <w:rsid w:val="00931586"/>
    <w:rsid w:val="0093235C"/>
    <w:rsid w:val="00942F50"/>
    <w:rsid w:val="00947114"/>
    <w:rsid w:val="00951A28"/>
    <w:rsid w:val="00955156"/>
    <w:rsid w:val="00957F1D"/>
    <w:rsid w:val="00965174"/>
    <w:rsid w:val="00966028"/>
    <w:rsid w:val="00966B60"/>
    <w:rsid w:val="00972376"/>
    <w:rsid w:val="009743B8"/>
    <w:rsid w:val="00974B80"/>
    <w:rsid w:val="009757DB"/>
    <w:rsid w:val="009817A7"/>
    <w:rsid w:val="00982055"/>
    <w:rsid w:val="0098353B"/>
    <w:rsid w:val="00985108"/>
    <w:rsid w:val="009857D9"/>
    <w:rsid w:val="00990E54"/>
    <w:rsid w:val="00991574"/>
    <w:rsid w:val="0099630E"/>
    <w:rsid w:val="009A2958"/>
    <w:rsid w:val="009A2D7A"/>
    <w:rsid w:val="009A4846"/>
    <w:rsid w:val="009B1AE2"/>
    <w:rsid w:val="009B50C3"/>
    <w:rsid w:val="009B520E"/>
    <w:rsid w:val="009B61E5"/>
    <w:rsid w:val="009C4A7D"/>
    <w:rsid w:val="009C65A6"/>
    <w:rsid w:val="009D330D"/>
    <w:rsid w:val="009D3B6D"/>
    <w:rsid w:val="009D3D51"/>
    <w:rsid w:val="009D40A5"/>
    <w:rsid w:val="009D6B50"/>
    <w:rsid w:val="009D7DA1"/>
    <w:rsid w:val="009E008D"/>
    <w:rsid w:val="009E4FCF"/>
    <w:rsid w:val="009F081A"/>
    <w:rsid w:val="009F31E2"/>
    <w:rsid w:val="009F458F"/>
    <w:rsid w:val="009F5ACE"/>
    <w:rsid w:val="00A00376"/>
    <w:rsid w:val="00A005A9"/>
    <w:rsid w:val="00A01A02"/>
    <w:rsid w:val="00A0422B"/>
    <w:rsid w:val="00A056C5"/>
    <w:rsid w:val="00A07313"/>
    <w:rsid w:val="00A10A71"/>
    <w:rsid w:val="00A1571C"/>
    <w:rsid w:val="00A1607D"/>
    <w:rsid w:val="00A219FB"/>
    <w:rsid w:val="00A32508"/>
    <w:rsid w:val="00A367ED"/>
    <w:rsid w:val="00A37936"/>
    <w:rsid w:val="00A43FCD"/>
    <w:rsid w:val="00A465FA"/>
    <w:rsid w:val="00A468ED"/>
    <w:rsid w:val="00A5264C"/>
    <w:rsid w:val="00A5334A"/>
    <w:rsid w:val="00A54D6D"/>
    <w:rsid w:val="00A606FC"/>
    <w:rsid w:val="00A607F0"/>
    <w:rsid w:val="00A62C52"/>
    <w:rsid w:val="00A6447F"/>
    <w:rsid w:val="00A65B0E"/>
    <w:rsid w:val="00A704AB"/>
    <w:rsid w:val="00A718DD"/>
    <w:rsid w:val="00A71921"/>
    <w:rsid w:val="00A7259E"/>
    <w:rsid w:val="00A72E36"/>
    <w:rsid w:val="00A73842"/>
    <w:rsid w:val="00A739E4"/>
    <w:rsid w:val="00A73C87"/>
    <w:rsid w:val="00A8117E"/>
    <w:rsid w:val="00A8168F"/>
    <w:rsid w:val="00A81EAA"/>
    <w:rsid w:val="00A81EB3"/>
    <w:rsid w:val="00A82849"/>
    <w:rsid w:val="00A85D5E"/>
    <w:rsid w:val="00A871CF"/>
    <w:rsid w:val="00A87D68"/>
    <w:rsid w:val="00A95039"/>
    <w:rsid w:val="00A9507D"/>
    <w:rsid w:val="00A9714A"/>
    <w:rsid w:val="00A97B28"/>
    <w:rsid w:val="00AA15BD"/>
    <w:rsid w:val="00AA1A90"/>
    <w:rsid w:val="00AA2752"/>
    <w:rsid w:val="00AA27E0"/>
    <w:rsid w:val="00AA3823"/>
    <w:rsid w:val="00AA4C1E"/>
    <w:rsid w:val="00AB0FED"/>
    <w:rsid w:val="00AB1FBB"/>
    <w:rsid w:val="00AB61A7"/>
    <w:rsid w:val="00AD5BD8"/>
    <w:rsid w:val="00AD6BD6"/>
    <w:rsid w:val="00AE0237"/>
    <w:rsid w:val="00AE0DB5"/>
    <w:rsid w:val="00AE10A9"/>
    <w:rsid w:val="00AE1B95"/>
    <w:rsid w:val="00AE4279"/>
    <w:rsid w:val="00AE44B4"/>
    <w:rsid w:val="00AE7E5E"/>
    <w:rsid w:val="00AF1832"/>
    <w:rsid w:val="00AF2193"/>
    <w:rsid w:val="00AF36C4"/>
    <w:rsid w:val="00AF4C92"/>
    <w:rsid w:val="00AF7088"/>
    <w:rsid w:val="00B004BE"/>
    <w:rsid w:val="00B010C0"/>
    <w:rsid w:val="00B07592"/>
    <w:rsid w:val="00B11951"/>
    <w:rsid w:val="00B127A3"/>
    <w:rsid w:val="00B13CCF"/>
    <w:rsid w:val="00B16EE5"/>
    <w:rsid w:val="00B17855"/>
    <w:rsid w:val="00B212A6"/>
    <w:rsid w:val="00B231C5"/>
    <w:rsid w:val="00B274DF"/>
    <w:rsid w:val="00B300D1"/>
    <w:rsid w:val="00B35EDA"/>
    <w:rsid w:val="00B4268F"/>
    <w:rsid w:val="00B43EBA"/>
    <w:rsid w:val="00B44F3A"/>
    <w:rsid w:val="00B450CC"/>
    <w:rsid w:val="00B52B4E"/>
    <w:rsid w:val="00B53CD9"/>
    <w:rsid w:val="00B5479D"/>
    <w:rsid w:val="00B557BD"/>
    <w:rsid w:val="00B60B21"/>
    <w:rsid w:val="00B6166A"/>
    <w:rsid w:val="00B627DE"/>
    <w:rsid w:val="00B63A64"/>
    <w:rsid w:val="00B66496"/>
    <w:rsid w:val="00B736C2"/>
    <w:rsid w:val="00B7453C"/>
    <w:rsid w:val="00B75CAB"/>
    <w:rsid w:val="00B800FD"/>
    <w:rsid w:val="00B81083"/>
    <w:rsid w:val="00B81D4B"/>
    <w:rsid w:val="00B840F9"/>
    <w:rsid w:val="00B858F5"/>
    <w:rsid w:val="00B91ABC"/>
    <w:rsid w:val="00B94FFC"/>
    <w:rsid w:val="00B9538F"/>
    <w:rsid w:val="00B95785"/>
    <w:rsid w:val="00B963BE"/>
    <w:rsid w:val="00BA0F90"/>
    <w:rsid w:val="00BA14D5"/>
    <w:rsid w:val="00BA271D"/>
    <w:rsid w:val="00BA2F20"/>
    <w:rsid w:val="00BA4049"/>
    <w:rsid w:val="00BA540A"/>
    <w:rsid w:val="00BA7E3E"/>
    <w:rsid w:val="00BB1F7B"/>
    <w:rsid w:val="00BB4B66"/>
    <w:rsid w:val="00BB575B"/>
    <w:rsid w:val="00BB64A4"/>
    <w:rsid w:val="00BC074A"/>
    <w:rsid w:val="00BC1353"/>
    <w:rsid w:val="00BC635E"/>
    <w:rsid w:val="00BD22A8"/>
    <w:rsid w:val="00BD2A3D"/>
    <w:rsid w:val="00BD334E"/>
    <w:rsid w:val="00BD40FB"/>
    <w:rsid w:val="00BD44C4"/>
    <w:rsid w:val="00BD4D86"/>
    <w:rsid w:val="00BD6318"/>
    <w:rsid w:val="00BE17CF"/>
    <w:rsid w:val="00BE246D"/>
    <w:rsid w:val="00BE2E6E"/>
    <w:rsid w:val="00BE4DC7"/>
    <w:rsid w:val="00BE502B"/>
    <w:rsid w:val="00BE5646"/>
    <w:rsid w:val="00BE7E52"/>
    <w:rsid w:val="00BF0B53"/>
    <w:rsid w:val="00BF3E4F"/>
    <w:rsid w:val="00BF7AE3"/>
    <w:rsid w:val="00BF7E18"/>
    <w:rsid w:val="00BF7F77"/>
    <w:rsid w:val="00C02A63"/>
    <w:rsid w:val="00C04F34"/>
    <w:rsid w:val="00C0650B"/>
    <w:rsid w:val="00C0673E"/>
    <w:rsid w:val="00C06FCB"/>
    <w:rsid w:val="00C1721B"/>
    <w:rsid w:val="00C20C54"/>
    <w:rsid w:val="00C24CC1"/>
    <w:rsid w:val="00C25128"/>
    <w:rsid w:val="00C31A5B"/>
    <w:rsid w:val="00C31E61"/>
    <w:rsid w:val="00C341A7"/>
    <w:rsid w:val="00C37093"/>
    <w:rsid w:val="00C37203"/>
    <w:rsid w:val="00C40B12"/>
    <w:rsid w:val="00C42198"/>
    <w:rsid w:val="00C425AC"/>
    <w:rsid w:val="00C42DAB"/>
    <w:rsid w:val="00C4443A"/>
    <w:rsid w:val="00C44C93"/>
    <w:rsid w:val="00C45708"/>
    <w:rsid w:val="00C47625"/>
    <w:rsid w:val="00C538F2"/>
    <w:rsid w:val="00C53981"/>
    <w:rsid w:val="00C61D0D"/>
    <w:rsid w:val="00C62ECC"/>
    <w:rsid w:val="00C65529"/>
    <w:rsid w:val="00C657D4"/>
    <w:rsid w:val="00C67C32"/>
    <w:rsid w:val="00C71A0A"/>
    <w:rsid w:val="00C73A5B"/>
    <w:rsid w:val="00C7435B"/>
    <w:rsid w:val="00C808B1"/>
    <w:rsid w:val="00C817C4"/>
    <w:rsid w:val="00C82EA8"/>
    <w:rsid w:val="00C861BA"/>
    <w:rsid w:val="00C90874"/>
    <w:rsid w:val="00C9326D"/>
    <w:rsid w:val="00C94C90"/>
    <w:rsid w:val="00C95918"/>
    <w:rsid w:val="00C976F7"/>
    <w:rsid w:val="00CA0027"/>
    <w:rsid w:val="00CA3F44"/>
    <w:rsid w:val="00CA4DD5"/>
    <w:rsid w:val="00CA7DF0"/>
    <w:rsid w:val="00CB1860"/>
    <w:rsid w:val="00CB66B0"/>
    <w:rsid w:val="00CD11A3"/>
    <w:rsid w:val="00CD1AAF"/>
    <w:rsid w:val="00CD4472"/>
    <w:rsid w:val="00CD6AF5"/>
    <w:rsid w:val="00CD702C"/>
    <w:rsid w:val="00CD77BF"/>
    <w:rsid w:val="00CE0DE9"/>
    <w:rsid w:val="00CE1987"/>
    <w:rsid w:val="00CF0237"/>
    <w:rsid w:val="00CF101A"/>
    <w:rsid w:val="00CF48D6"/>
    <w:rsid w:val="00CF4AB5"/>
    <w:rsid w:val="00CF4E1A"/>
    <w:rsid w:val="00CF67AF"/>
    <w:rsid w:val="00D071AF"/>
    <w:rsid w:val="00D1244F"/>
    <w:rsid w:val="00D16E62"/>
    <w:rsid w:val="00D17804"/>
    <w:rsid w:val="00D22C17"/>
    <w:rsid w:val="00D23200"/>
    <w:rsid w:val="00D27BC3"/>
    <w:rsid w:val="00D31236"/>
    <w:rsid w:val="00D339E1"/>
    <w:rsid w:val="00D35A25"/>
    <w:rsid w:val="00D3797E"/>
    <w:rsid w:val="00D433AB"/>
    <w:rsid w:val="00D435A4"/>
    <w:rsid w:val="00D44B78"/>
    <w:rsid w:val="00D44D68"/>
    <w:rsid w:val="00D44E06"/>
    <w:rsid w:val="00D453EB"/>
    <w:rsid w:val="00D45821"/>
    <w:rsid w:val="00D515A0"/>
    <w:rsid w:val="00D520D6"/>
    <w:rsid w:val="00D5227F"/>
    <w:rsid w:val="00D545AE"/>
    <w:rsid w:val="00D567A5"/>
    <w:rsid w:val="00D57CF3"/>
    <w:rsid w:val="00D63ADA"/>
    <w:rsid w:val="00D64802"/>
    <w:rsid w:val="00D65138"/>
    <w:rsid w:val="00D672AA"/>
    <w:rsid w:val="00D713A7"/>
    <w:rsid w:val="00D714C9"/>
    <w:rsid w:val="00D73EA2"/>
    <w:rsid w:val="00D75B0A"/>
    <w:rsid w:val="00D768EE"/>
    <w:rsid w:val="00D803CB"/>
    <w:rsid w:val="00D8380C"/>
    <w:rsid w:val="00D87ED8"/>
    <w:rsid w:val="00D901BD"/>
    <w:rsid w:val="00D95538"/>
    <w:rsid w:val="00D96284"/>
    <w:rsid w:val="00D97D95"/>
    <w:rsid w:val="00DA5676"/>
    <w:rsid w:val="00DA755F"/>
    <w:rsid w:val="00DB2092"/>
    <w:rsid w:val="00DB2E35"/>
    <w:rsid w:val="00DB3B93"/>
    <w:rsid w:val="00DB46CB"/>
    <w:rsid w:val="00DB52CB"/>
    <w:rsid w:val="00DB650C"/>
    <w:rsid w:val="00DC0317"/>
    <w:rsid w:val="00DC1599"/>
    <w:rsid w:val="00DC191B"/>
    <w:rsid w:val="00DC3545"/>
    <w:rsid w:val="00DC4341"/>
    <w:rsid w:val="00DD2D11"/>
    <w:rsid w:val="00DD394F"/>
    <w:rsid w:val="00DD3A95"/>
    <w:rsid w:val="00DD4399"/>
    <w:rsid w:val="00DE00E5"/>
    <w:rsid w:val="00DE5367"/>
    <w:rsid w:val="00DF0766"/>
    <w:rsid w:val="00DF101B"/>
    <w:rsid w:val="00DF4804"/>
    <w:rsid w:val="00DF5528"/>
    <w:rsid w:val="00DF6960"/>
    <w:rsid w:val="00DF6F78"/>
    <w:rsid w:val="00E00FCE"/>
    <w:rsid w:val="00E058C4"/>
    <w:rsid w:val="00E10CC5"/>
    <w:rsid w:val="00E11C0D"/>
    <w:rsid w:val="00E1205C"/>
    <w:rsid w:val="00E13285"/>
    <w:rsid w:val="00E17261"/>
    <w:rsid w:val="00E17A41"/>
    <w:rsid w:val="00E17C80"/>
    <w:rsid w:val="00E17EC0"/>
    <w:rsid w:val="00E2151C"/>
    <w:rsid w:val="00E243A1"/>
    <w:rsid w:val="00E24F7D"/>
    <w:rsid w:val="00E27693"/>
    <w:rsid w:val="00E302CA"/>
    <w:rsid w:val="00E32AAB"/>
    <w:rsid w:val="00E32BC1"/>
    <w:rsid w:val="00E32D66"/>
    <w:rsid w:val="00E35A99"/>
    <w:rsid w:val="00E41200"/>
    <w:rsid w:val="00E41889"/>
    <w:rsid w:val="00E41FCE"/>
    <w:rsid w:val="00E53672"/>
    <w:rsid w:val="00E53F3E"/>
    <w:rsid w:val="00E54C4E"/>
    <w:rsid w:val="00E56366"/>
    <w:rsid w:val="00E6224E"/>
    <w:rsid w:val="00E6284F"/>
    <w:rsid w:val="00E6750A"/>
    <w:rsid w:val="00E70356"/>
    <w:rsid w:val="00E70D98"/>
    <w:rsid w:val="00E71C2E"/>
    <w:rsid w:val="00E74135"/>
    <w:rsid w:val="00E7667C"/>
    <w:rsid w:val="00E77180"/>
    <w:rsid w:val="00E833AA"/>
    <w:rsid w:val="00E8372C"/>
    <w:rsid w:val="00E84C06"/>
    <w:rsid w:val="00E87764"/>
    <w:rsid w:val="00E90DD7"/>
    <w:rsid w:val="00E944B5"/>
    <w:rsid w:val="00E9618E"/>
    <w:rsid w:val="00E96AA5"/>
    <w:rsid w:val="00E96C21"/>
    <w:rsid w:val="00EA0798"/>
    <w:rsid w:val="00EA2DD1"/>
    <w:rsid w:val="00EA42CA"/>
    <w:rsid w:val="00EA56D6"/>
    <w:rsid w:val="00EA60AC"/>
    <w:rsid w:val="00EB6397"/>
    <w:rsid w:val="00EB6BD9"/>
    <w:rsid w:val="00EC26CE"/>
    <w:rsid w:val="00EC46D6"/>
    <w:rsid w:val="00EC50E7"/>
    <w:rsid w:val="00ED028D"/>
    <w:rsid w:val="00ED4A4E"/>
    <w:rsid w:val="00ED5B85"/>
    <w:rsid w:val="00EE0722"/>
    <w:rsid w:val="00EF3660"/>
    <w:rsid w:val="00EF491A"/>
    <w:rsid w:val="00EF6DB3"/>
    <w:rsid w:val="00F01E28"/>
    <w:rsid w:val="00F0230F"/>
    <w:rsid w:val="00F0252E"/>
    <w:rsid w:val="00F02774"/>
    <w:rsid w:val="00F054D1"/>
    <w:rsid w:val="00F06077"/>
    <w:rsid w:val="00F06597"/>
    <w:rsid w:val="00F1369C"/>
    <w:rsid w:val="00F14977"/>
    <w:rsid w:val="00F14AB6"/>
    <w:rsid w:val="00F1712D"/>
    <w:rsid w:val="00F21491"/>
    <w:rsid w:val="00F21B79"/>
    <w:rsid w:val="00F224CE"/>
    <w:rsid w:val="00F22EF1"/>
    <w:rsid w:val="00F23F58"/>
    <w:rsid w:val="00F264DD"/>
    <w:rsid w:val="00F26D94"/>
    <w:rsid w:val="00F27B01"/>
    <w:rsid w:val="00F4423B"/>
    <w:rsid w:val="00F45022"/>
    <w:rsid w:val="00F51C0C"/>
    <w:rsid w:val="00F54499"/>
    <w:rsid w:val="00F56ABF"/>
    <w:rsid w:val="00F6363B"/>
    <w:rsid w:val="00F66CD4"/>
    <w:rsid w:val="00F704DF"/>
    <w:rsid w:val="00F70C1E"/>
    <w:rsid w:val="00F74DA9"/>
    <w:rsid w:val="00F85056"/>
    <w:rsid w:val="00F87574"/>
    <w:rsid w:val="00F92052"/>
    <w:rsid w:val="00F96673"/>
    <w:rsid w:val="00FB0DBB"/>
    <w:rsid w:val="00FB6AF7"/>
    <w:rsid w:val="00FB7FC2"/>
    <w:rsid w:val="00FC1BE3"/>
    <w:rsid w:val="00FC7223"/>
    <w:rsid w:val="00FD049D"/>
    <w:rsid w:val="00FD0EAE"/>
    <w:rsid w:val="00FD5168"/>
    <w:rsid w:val="00FD55DC"/>
    <w:rsid w:val="00FD57BB"/>
    <w:rsid w:val="00FD7F93"/>
    <w:rsid w:val="00FE1CBD"/>
    <w:rsid w:val="00FE3597"/>
    <w:rsid w:val="00FF052F"/>
    <w:rsid w:val="00FF0E9F"/>
    <w:rsid w:val="00FF477D"/>
    <w:rsid w:val="00FF4942"/>
    <w:rsid w:val="00FF554C"/>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763B5C"/>
  <w15:docId w15:val="{B98F7794-0051-E049-AAB1-BD7108D9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CF"/>
    <w:pPr>
      <w:spacing w:after="120"/>
    </w:pPr>
    <w:rPr>
      <w:sz w:val="22"/>
      <w:szCs w:val="24"/>
    </w:rPr>
  </w:style>
  <w:style w:type="paragraph" w:styleId="Heading1">
    <w:name w:val="heading 1"/>
    <w:basedOn w:val="Normal"/>
    <w:next w:val="Normal"/>
    <w:qFormat/>
    <w:rsid w:val="001B5829"/>
    <w:pPr>
      <w:keepLines/>
      <w:spacing w:before="900" w:after="1200"/>
      <w:outlineLvl w:val="0"/>
    </w:pPr>
    <w:rPr>
      <w:rFonts w:ascii="Arial" w:hAnsi="Arial"/>
      <w:b/>
      <w:sz w:val="48"/>
    </w:rPr>
  </w:style>
  <w:style w:type="paragraph" w:styleId="Heading2">
    <w:name w:val="heading 2"/>
    <w:basedOn w:val="Normal"/>
    <w:next w:val="Normal"/>
    <w:qFormat/>
    <w:rsid w:val="001B5829"/>
    <w:pPr>
      <w:keepNext/>
      <w:keepLines/>
      <w:spacing w:before="240" w:after="60"/>
      <w:outlineLvl w:val="1"/>
    </w:pPr>
    <w:rPr>
      <w:rFonts w:ascii="Arial" w:hAnsi="Arial"/>
      <w:b/>
      <w:sz w:val="28"/>
    </w:rPr>
  </w:style>
  <w:style w:type="paragraph" w:styleId="Heading3">
    <w:name w:val="heading 3"/>
    <w:basedOn w:val="Normal"/>
    <w:next w:val="Normal"/>
    <w:qFormat/>
    <w:rsid w:val="001B5829"/>
    <w:pPr>
      <w:keepNext/>
      <w:keepLines/>
      <w:spacing w:before="240" w:after="60"/>
      <w:outlineLvl w:val="2"/>
    </w:pPr>
    <w:rPr>
      <w:rFonts w:ascii="Arial" w:hAnsi="Arial"/>
      <w:b/>
      <w:i/>
      <w:sz w:val="24"/>
    </w:rPr>
  </w:style>
  <w:style w:type="paragraph" w:styleId="Heading4">
    <w:name w:val="heading 4"/>
    <w:basedOn w:val="Normal"/>
    <w:next w:val="Normal"/>
    <w:qFormat/>
    <w:rsid w:val="001B5829"/>
    <w:pPr>
      <w:keepNext/>
      <w:spacing w:before="240" w:after="60"/>
      <w:outlineLvl w:val="3"/>
    </w:pPr>
    <w:rPr>
      <w:rFonts w:ascii="Arial" w:hAnsi="Arial"/>
      <w:bCs/>
      <w:sz w:val="24"/>
      <w:szCs w:val="28"/>
    </w:rPr>
  </w:style>
  <w:style w:type="paragraph" w:styleId="Heading5">
    <w:name w:val="heading 5"/>
    <w:basedOn w:val="Normal"/>
    <w:next w:val="Normal"/>
    <w:qFormat/>
    <w:rsid w:val="001B5829"/>
    <w:pPr>
      <w:spacing w:before="240" w:after="60"/>
      <w:outlineLvl w:val="4"/>
    </w:pPr>
    <w:rPr>
      <w:rFonts w:ascii="Arial" w:hAnsi="Arial"/>
      <w:bCs/>
      <w:i/>
      <w:iCs/>
      <w:sz w:val="24"/>
      <w:szCs w:val="26"/>
    </w:rPr>
  </w:style>
  <w:style w:type="paragraph" w:styleId="Heading6">
    <w:name w:val="heading 6"/>
    <w:basedOn w:val="Normal"/>
    <w:next w:val="Normal"/>
    <w:qFormat/>
    <w:rsid w:val="00871990"/>
    <w:pPr>
      <w:spacing w:before="240" w:after="60"/>
      <w:outlineLvl w:val="5"/>
    </w:pPr>
    <w:rPr>
      <w:b/>
      <w:bCs/>
      <w:szCs w:val="22"/>
    </w:rPr>
  </w:style>
  <w:style w:type="paragraph" w:styleId="Heading7">
    <w:name w:val="heading 7"/>
    <w:basedOn w:val="Normal"/>
    <w:next w:val="Normal"/>
    <w:qFormat/>
    <w:rsid w:val="00871990"/>
    <w:pPr>
      <w:spacing w:before="240" w:after="60"/>
      <w:outlineLvl w:val="6"/>
    </w:pPr>
    <w:rPr>
      <w:sz w:val="24"/>
    </w:rPr>
  </w:style>
  <w:style w:type="paragraph" w:styleId="Heading8">
    <w:name w:val="heading 8"/>
    <w:basedOn w:val="Normal"/>
    <w:next w:val="Normal"/>
    <w:qFormat/>
    <w:rsid w:val="00871990"/>
    <w:pPr>
      <w:spacing w:before="240" w:after="60"/>
      <w:outlineLvl w:val="7"/>
    </w:pPr>
    <w:rPr>
      <w:i/>
      <w:iCs/>
      <w:sz w:val="24"/>
    </w:rPr>
  </w:style>
  <w:style w:type="paragraph" w:styleId="Heading9">
    <w:name w:val="heading 9"/>
    <w:basedOn w:val="Normal"/>
    <w:next w:val="Normal"/>
    <w:qFormat/>
    <w:rsid w:val="0087199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B99"/>
    <w:pPr>
      <w:tabs>
        <w:tab w:val="center" w:pos="4320"/>
        <w:tab w:val="right" w:pos="8640"/>
      </w:tabs>
    </w:pPr>
  </w:style>
  <w:style w:type="paragraph" w:styleId="Footer">
    <w:name w:val="footer"/>
    <w:basedOn w:val="Normal"/>
    <w:rsid w:val="00250B99"/>
    <w:pPr>
      <w:tabs>
        <w:tab w:val="center" w:pos="4320"/>
        <w:tab w:val="right" w:pos="8640"/>
      </w:tabs>
    </w:pPr>
  </w:style>
  <w:style w:type="character" w:styleId="PageNumber">
    <w:name w:val="page number"/>
    <w:basedOn w:val="DefaultParagraphFont"/>
    <w:rsid w:val="00250B99"/>
  </w:style>
  <w:style w:type="table" w:styleId="TableGrid">
    <w:name w:val="Table Grid"/>
    <w:basedOn w:val="TableNormal"/>
    <w:rsid w:val="001B582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63BE"/>
    <w:rPr>
      <w:color w:val="0000FF"/>
      <w:u w:val="single"/>
    </w:rPr>
  </w:style>
  <w:style w:type="paragraph" w:styleId="Title">
    <w:name w:val="Title"/>
    <w:basedOn w:val="Normal"/>
    <w:qFormat/>
    <w:rsid w:val="00B963BE"/>
    <w:pPr>
      <w:jc w:val="center"/>
    </w:pPr>
    <w:rPr>
      <w:rFonts w:ascii="Arial" w:hAnsi="Arial"/>
      <w:b/>
      <w:sz w:val="36"/>
    </w:rPr>
  </w:style>
  <w:style w:type="paragraph" w:customStyle="1" w:styleId="ContentsTitle">
    <w:name w:val="Contents Title"/>
    <w:basedOn w:val="Normal"/>
    <w:rsid w:val="00B963BE"/>
    <w:pPr>
      <w:spacing w:after="1200"/>
      <w:jc w:val="center"/>
    </w:pPr>
    <w:rPr>
      <w:rFonts w:ascii="Arial" w:hAnsi="Arial"/>
      <w:b/>
      <w:sz w:val="36"/>
    </w:rPr>
  </w:style>
  <w:style w:type="paragraph" w:customStyle="1" w:styleId="ContentsCourseTitle">
    <w:name w:val="Contents Course Title"/>
    <w:basedOn w:val="Normal"/>
    <w:rsid w:val="00B963BE"/>
    <w:pPr>
      <w:jc w:val="center"/>
    </w:pPr>
    <w:rPr>
      <w:rFonts w:ascii="Arial" w:hAnsi="Arial"/>
      <w:b/>
      <w:sz w:val="40"/>
    </w:rPr>
  </w:style>
  <w:style w:type="paragraph" w:customStyle="1" w:styleId="Headereven">
    <w:name w:val="Header even"/>
    <w:basedOn w:val="Normal"/>
    <w:rsid w:val="004F6309"/>
    <w:pPr>
      <w:pBdr>
        <w:bottom w:val="single" w:sz="4" w:space="1" w:color="auto"/>
      </w:pBdr>
      <w:tabs>
        <w:tab w:val="center" w:pos="4320"/>
        <w:tab w:val="right" w:pos="8640"/>
      </w:tabs>
    </w:pPr>
    <w:rPr>
      <w:sz w:val="28"/>
    </w:rPr>
  </w:style>
  <w:style w:type="paragraph" w:styleId="TOC1">
    <w:name w:val="toc 1"/>
    <w:basedOn w:val="Normal"/>
    <w:next w:val="Normal"/>
    <w:uiPriority w:val="39"/>
    <w:rsid w:val="001B5829"/>
    <w:pPr>
      <w:spacing w:before="100" w:after="0"/>
    </w:pPr>
    <w:rPr>
      <w:b/>
      <w:sz w:val="24"/>
    </w:rPr>
  </w:style>
  <w:style w:type="paragraph" w:styleId="TOC2">
    <w:name w:val="toc 2"/>
    <w:basedOn w:val="Normal"/>
    <w:next w:val="Normal"/>
    <w:uiPriority w:val="39"/>
    <w:rsid w:val="001B5829"/>
    <w:pPr>
      <w:spacing w:after="0"/>
      <w:ind w:left="245"/>
    </w:pPr>
  </w:style>
  <w:style w:type="paragraph" w:customStyle="1" w:styleId="chart1">
    <w:name w:val="chart 1"/>
    <w:basedOn w:val="Normal"/>
    <w:rsid w:val="00C7435B"/>
    <w:pPr>
      <w:keepNext/>
      <w:spacing w:before="240" w:after="60"/>
    </w:pPr>
    <w:rPr>
      <w:rFonts w:ascii="Arial" w:hAnsi="Arial"/>
      <w:b/>
      <w:sz w:val="24"/>
      <w:szCs w:val="22"/>
    </w:rPr>
  </w:style>
  <w:style w:type="paragraph" w:customStyle="1" w:styleId="continuedfromprevious">
    <w:name w:val="continued from previous"/>
    <w:basedOn w:val="StyleArial11ptBold"/>
    <w:rsid w:val="00444B30"/>
    <w:rPr>
      <w:b w:val="0"/>
      <w:i/>
    </w:rPr>
  </w:style>
  <w:style w:type="paragraph" w:customStyle="1" w:styleId="StyleArial11ptBold">
    <w:name w:val="Style Arial 11 pt Bold"/>
    <w:basedOn w:val="Normal"/>
    <w:link w:val="StyleArial11ptBoldChar"/>
    <w:rsid w:val="00BD44C4"/>
    <w:pPr>
      <w:spacing w:before="240" w:after="60"/>
    </w:pPr>
    <w:rPr>
      <w:rFonts w:ascii="Arial" w:hAnsi="Arial" w:cs="Arial"/>
      <w:b/>
      <w:szCs w:val="22"/>
    </w:rPr>
  </w:style>
  <w:style w:type="character" w:customStyle="1" w:styleId="StyleArial11ptBoldChar">
    <w:name w:val="Style Arial 11 pt Bold Char"/>
    <w:basedOn w:val="DefaultParagraphFont"/>
    <w:link w:val="StyleArial11ptBold"/>
    <w:rsid w:val="00BD44C4"/>
    <w:rPr>
      <w:rFonts w:ascii="Arial" w:hAnsi="Arial" w:cs="Arial"/>
      <w:b/>
      <w:sz w:val="22"/>
      <w:szCs w:val="22"/>
      <w:lang w:val="en-US" w:eastAsia="en-US" w:bidi="ar-SA"/>
    </w:rPr>
  </w:style>
  <w:style w:type="paragraph" w:styleId="BalloonText">
    <w:name w:val="Balloon Text"/>
    <w:basedOn w:val="Normal"/>
    <w:link w:val="BalloonTextChar"/>
    <w:rsid w:val="00871990"/>
    <w:rPr>
      <w:rFonts w:ascii="Tahoma" w:hAnsi="Tahoma" w:cs="Tahoma"/>
      <w:sz w:val="16"/>
      <w:szCs w:val="16"/>
    </w:rPr>
  </w:style>
  <w:style w:type="paragraph" w:styleId="BlockText">
    <w:name w:val="Block Text"/>
    <w:basedOn w:val="Normal"/>
    <w:rsid w:val="00871990"/>
    <w:pPr>
      <w:ind w:left="1440" w:right="1440"/>
    </w:pPr>
  </w:style>
  <w:style w:type="paragraph" w:styleId="BodyText">
    <w:name w:val="Body Text"/>
    <w:basedOn w:val="Normal"/>
    <w:rsid w:val="00871990"/>
  </w:style>
  <w:style w:type="paragraph" w:styleId="BodyText2">
    <w:name w:val="Body Text 2"/>
    <w:basedOn w:val="Normal"/>
    <w:rsid w:val="00871990"/>
    <w:pPr>
      <w:spacing w:line="480" w:lineRule="auto"/>
    </w:pPr>
  </w:style>
  <w:style w:type="paragraph" w:styleId="BodyText3">
    <w:name w:val="Body Text 3"/>
    <w:basedOn w:val="Normal"/>
    <w:rsid w:val="00871990"/>
    <w:rPr>
      <w:sz w:val="16"/>
      <w:szCs w:val="16"/>
    </w:rPr>
  </w:style>
  <w:style w:type="paragraph" w:styleId="BodyTextFirstIndent">
    <w:name w:val="Body Text First Indent"/>
    <w:basedOn w:val="BodyText"/>
    <w:rsid w:val="00871990"/>
    <w:pPr>
      <w:ind w:firstLine="210"/>
    </w:pPr>
  </w:style>
  <w:style w:type="paragraph" w:styleId="BodyTextIndent">
    <w:name w:val="Body Text Indent"/>
    <w:basedOn w:val="Normal"/>
    <w:rsid w:val="00871990"/>
    <w:pPr>
      <w:ind w:left="360"/>
    </w:pPr>
  </w:style>
  <w:style w:type="paragraph" w:styleId="BodyTextFirstIndent2">
    <w:name w:val="Body Text First Indent 2"/>
    <w:basedOn w:val="BodyTextIndent"/>
    <w:rsid w:val="00871990"/>
    <w:pPr>
      <w:ind w:firstLine="210"/>
    </w:pPr>
  </w:style>
  <w:style w:type="paragraph" w:styleId="BodyTextIndent2">
    <w:name w:val="Body Text Indent 2"/>
    <w:basedOn w:val="Normal"/>
    <w:rsid w:val="00871990"/>
    <w:pPr>
      <w:spacing w:line="480" w:lineRule="auto"/>
      <w:ind w:left="360"/>
    </w:pPr>
  </w:style>
  <w:style w:type="paragraph" w:styleId="BodyTextIndent3">
    <w:name w:val="Body Text Indent 3"/>
    <w:basedOn w:val="Normal"/>
    <w:rsid w:val="00871990"/>
    <w:pPr>
      <w:ind w:left="360"/>
    </w:pPr>
    <w:rPr>
      <w:sz w:val="16"/>
      <w:szCs w:val="16"/>
    </w:rPr>
  </w:style>
  <w:style w:type="paragraph" w:styleId="Caption">
    <w:name w:val="caption"/>
    <w:basedOn w:val="Normal"/>
    <w:next w:val="Normal"/>
    <w:qFormat/>
    <w:rsid w:val="00871990"/>
    <w:pPr>
      <w:spacing w:before="120"/>
    </w:pPr>
    <w:rPr>
      <w:b/>
      <w:bCs/>
      <w:sz w:val="20"/>
    </w:rPr>
  </w:style>
  <w:style w:type="paragraph" w:styleId="Closing">
    <w:name w:val="Closing"/>
    <w:basedOn w:val="Normal"/>
    <w:rsid w:val="00871990"/>
    <w:pPr>
      <w:ind w:left="4320"/>
    </w:pPr>
  </w:style>
  <w:style w:type="paragraph" w:styleId="CommentText">
    <w:name w:val="annotation text"/>
    <w:basedOn w:val="Normal"/>
    <w:semiHidden/>
    <w:rsid w:val="00871990"/>
    <w:rPr>
      <w:sz w:val="20"/>
    </w:rPr>
  </w:style>
  <w:style w:type="paragraph" w:styleId="CommentSubject">
    <w:name w:val="annotation subject"/>
    <w:basedOn w:val="CommentText"/>
    <w:next w:val="CommentText"/>
    <w:semiHidden/>
    <w:rsid w:val="00871990"/>
    <w:rPr>
      <w:b/>
      <w:bCs/>
    </w:rPr>
  </w:style>
  <w:style w:type="paragraph" w:styleId="Date">
    <w:name w:val="Date"/>
    <w:basedOn w:val="Normal"/>
    <w:next w:val="Normal"/>
    <w:rsid w:val="00871990"/>
  </w:style>
  <w:style w:type="paragraph" w:styleId="DocumentMap">
    <w:name w:val="Document Map"/>
    <w:basedOn w:val="Normal"/>
    <w:semiHidden/>
    <w:rsid w:val="00871990"/>
    <w:pPr>
      <w:shd w:val="clear" w:color="auto" w:fill="000080"/>
    </w:pPr>
    <w:rPr>
      <w:rFonts w:ascii="Tahoma" w:hAnsi="Tahoma" w:cs="Tahoma"/>
    </w:rPr>
  </w:style>
  <w:style w:type="paragraph" w:styleId="E-mailSignature">
    <w:name w:val="E-mail Signature"/>
    <w:basedOn w:val="Normal"/>
    <w:rsid w:val="00871990"/>
  </w:style>
  <w:style w:type="paragraph" w:styleId="EndnoteText">
    <w:name w:val="endnote text"/>
    <w:basedOn w:val="Normal"/>
    <w:semiHidden/>
    <w:rsid w:val="00871990"/>
    <w:rPr>
      <w:sz w:val="20"/>
    </w:rPr>
  </w:style>
  <w:style w:type="paragraph" w:styleId="EnvelopeAddress">
    <w:name w:val="envelope address"/>
    <w:basedOn w:val="Normal"/>
    <w:rsid w:val="00871990"/>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871990"/>
    <w:rPr>
      <w:rFonts w:ascii="Arial" w:hAnsi="Arial" w:cs="Arial"/>
      <w:sz w:val="20"/>
    </w:rPr>
  </w:style>
  <w:style w:type="paragraph" w:styleId="FootnoteText">
    <w:name w:val="footnote text"/>
    <w:basedOn w:val="Normal"/>
    <w:semiHidden/>
    <w:rsid w:val="00871990"/>
    <w:rPr>
      <w:sz w:val="20"/>
    </w:rPr>
  </w:style>
  <w:style w:type="paragraph" w:styleId="HTMLAddress">
    <w:name w:val="HTML Address"/>
    <w:basedOn w:val="Normal"/>
    <w:rsid w:val="00871990"/>
    <w:rPr>
      <w:i/>
      <w:iCs/>
    </w:rPr>
  </w:style>
  <w:style w:type="paragraph" w:styleId="HTMLPreformatted">
    <w:name w:val="HTML Preformatted"/>
    <w:basedOn w:val="Normal"/>
    <w:rsid w:val="00871990"/>
    <w:rPr>
      <w:rFonts w:ascii="Courier New" w:hAnsi="Courier New" w:cs="Courier New"/>
      <w:sz w:val="20"/>
    </w:rPr>
  </w:style>
  <w:style w:type="paragraph" w:styleId="Index1">
    <w:name w:val="index 1"/>
    <w:basedOn w:val="Normal"/>
    <w:next w:val="Normal"/>
    <w:autoRedefine/>
    <w:semiHidden/>
    <w:rsid w:val="00871990"/>
    <w:pPr>
      <w:ind w:left="260" w:hanging="260"/>
    </w:pPr>
  </w:style>
  <w:style w:type="paragraph" w:styleId="Index2">
    <w:name w:val="index 2"/>
    <w:basedOn w:val="Normal"/>
    <w:next w:val="Normal"/>
    <w:autoRedefine/>
    <w:semiHidden/>
    <w:rsid w:val="00871990"/>
    <w:pPr>
      <w:ind w:left="520" w:hanging="260"/>
    </w:pPr>
  </w:style>
  <w:style w:type="paragraph" w:styleId="Index3">
    <w:name w:val="index 3"/>
    <w:basedOn w:val="Normal"/>
    <w:next w:val="Normal"/>
    <w:autoRedefine/>
    <w:semiHidden/>
    <w:rsid w:val="00871990"/>
    <w:pPr>
      <w:ind w:left="780" w:hanging="260"/>
    </w:pPr>
  </w:style>
  <w:style w:type="paragraph" w:styleId="Index4">
    <w:name w:val="index 4"/>
    <w:basedOn w:val="Normal"/>
    <w:next w:val="Normal"/>
    <w:autoRedefine/>
    <w:semiHidden/>
    <w:rsid w:val="00871990"/>
    <w:pPr>
      <w:ind w:left="1040" w:hanging="260"/>
    </w:pPr>
  </w:style>
  <w:style w:type="paragraph" w:styleId="Index5">
    <w:name w:val="index 5"/>
    <w:basedOn w:val="Normal"/>
    <w:next w:val="Normal"/>
    <w:autoRedefine/>
    <w:semiHidden/>
    <w:rsid w:val="00871990"/>
    <w:pPr>
      <w:ind w:left="1300" w:hanging="260"/>
    </w:pPr>
  </w:style>
  <w:style w:type="paragraph" w:styleId="Index6">
    <w:name w:val="index 6"/>
    <w:basedOn w:val="Normal"/>
    <w:next w:val="Normal"/>
    <w:autoRedefine/>
    <w:semiHidden/>
    <w:rsid w:val="00871990"/>
    <w:pPr>
      <w:ind w:left="1560" w:hanging="260"/>
    </w:pPr>
  </w:style>
  <w:style w:type="paragraph" w:styleId="Index7">
    <w:name w:val="index 7"/>
    <w:basedOn w:val="Normal"/>
    <w:next w:val="Normal"/>
    <w:autoRedefine/>
    <w:semiHidden/>
    <w:rsid w:val="00871990"/>
    <w:pPr>
      <w:ind w:left="1820" w:hanging="260"/>
    </w:pPr>
  </w:style>
  <w:style w:type="paragraph" w:styleId="Index8">
    <w:name w:val="index 8"/>
    <w:basedOn w:val="Normal"/>
    <w:next w:val="Normal"/>
    <w:autoRedefine/>
    <w:semiHidden/>
    <w:rsid w:val="00871990"/>
    <w:pPr>
      <w:ind w:left="2080" w:hanging="260"/>
    </w:pPr>
  </w:style>
  <w:style w:type="paragraph" w:styleId="Index9">
    <w:name w:val="index 9"/>
    <w:basedOn w:val="Normal"/>
    <w:next w:val="Normal"/>
    <w:autoRedefine/>
    <w:semiHidden/>
    <w:rsid w:val="00871990"/>
    <w:pPr>
      <w:ind w:left="2340" w:hanging="260"/>
    </w:pPr>
  </w:style>
  <w:style w:type="paragraph" w:styleId="IndexHeading">
    <w:name w:val="index heading"/>
    <w:basedOn w:val="Normal"/>
    <w:next w:val="Index1"/>
    <w:semiHidden/>
    <w:rsid w:val="00871990"/>
    <w:rPr>
      <w:rFonts w:ascii="Arial" w:hAnsi="Arial" w:cs="Arial"/>
      <w:b/>
      <w:bCs/>
    </w:rPr>
  </w:style>
  <w:style w:type="paragraph" w:styleId="List">
    <w:name w:val="List"/>
    <w:basedOn w:val="Normal"/>
    <w:rsid w:val="00871990"/>
    <w:pPr>
      <w:ind w:left="360" w:hanging="360"/>
    </w:pPr>
  </w:style>
  <w:style w:type="paragraph" w:styleId="List2">
    <w:name w:val="List 2"/>
    <w:basedOn w:val="Normal"/>
    <w:rsid w:val="00871990"/>
    <w:pPr>
      <w:ind w:left="720" w:hanging="360"/>
    </w:pPr>
  </w:style>
  <w:style w:type="paragraph" w:styleId="List3">
    <w:name w:val="List 3"/>
    <w:basedOn w:val="Normal"/>
    <w:rsid w:val="00871990"/>
    <w:pPr>
      <w:ind w:left="1080" w:hanging="360"/>
    </w:pPr>
  </w:style>
  <w:style w:type="paragraph" w:styleId="List4">
    <w:name w:val="List 4"/>
    <w:basedOn w:val="Normal"/>
    <w:rsid w:val="00871990"/>
    <w:pPr>
      <w:ind w:left="1440" w:hanging="360"/>
    </w:pPr>
  </w:style>
  <w:style w:type="paragraph" w:styleId="List5">
    <w:name w:val="List 5"/>
    <w:basedOn w:val="Normal"/>
    <w:rsid w:val="00871990"/>
    <w:pPr>
      <w:ind w:left="1800" w:hanging="360"/>
    </w:pPr>
  </w:style>
  <w:style w:type="paragraph" w:styleId="ListBullet">
    <w:name w:val="List Bullet"/>
    <w:basedOn w:val="Normal"/>
    <w:autoRedefine/>
    <w:rsid w:val="00871990"/>
    <w:pPr>
      <w:numPr>
        <w:numId w:val="2"/>
      </w:numPr>
    </w:pPr>
  </w:style>
  <w:style w:type="paragraph" w:styleId="ListBullet2">
    <w:name w:val="List Bullet 2"/>
    <w:basedOn w:val="Normal"/>
    <w:autoRedefine/>
    <w:rsid w:val="00871990"/>
    <w:pPr>
      <w:numPr>
        <w:numId w:val="3"/>
      </w:numPr>
    </w:pPr>
  </w:style>
  <w:style w:type="paragraph" w:styleId="ListBullet3">
    <w:name w:val="List Bullet 3"/>
    <w:basedOn w:val="Normal"/>
    <w:autoRedefine/>
    <w:rsid w:val="00871990"/>
    <w:pPr>
      <w:numPr>
        <w:numId w:val="4"/>
      </w:numPr>
    </w:pPr>
  </w:style>
  <w:style w:type="paragraph" w:styleId="ListBullet4">
    <w:name w:val="List Bullet 4"/>
    <w:basedOn w:val="Normal"/>
    <w:autoRedefine/>
    <w:rsid w:val="00871990"/>
    <w:pPr>
      <w:numPr>
        <w:numId w:val="5"/>
      </w:numPr>
    </w:pPr>
  </w:style>
  <w:style w:type="paragraph" w:styleId="ListBullet5">
    <w:name w:val="List Bullet 5"/>
    <w:basedOn w:val="Normal"/>
    <w:autoRedefine/>
    <w:rsid w:val="00871990"/>
    <w:pPr>
      <w:numPr>
        <w:numId w:val="6"/>
      </w:numPr>
    </w:pPr>
  </w:style>
  <w:style w:type="paragraph" w:styleId="ListContinue">
    <w:name w:val="List Continue"/>
    <w:basedOn w:val="Normal"/>
    <w:rsid w:val="00871990"/>
    <w:pPr>
      <w:ind w:left="360"/>
    </w:pPr>
  </w:style>
  <w:style w:type="paragraph" w:styleId="ListContinue2">
    <w:name w:val="List Continue 2"/>
    <w:basedOn w:val="Normal"/>
    <w:rsid w:val="00871990"/>
    <w:pPr>
      <w:ind w:left="720"/>
    </w:pPr>
  </w:style>
  <w:style w:type="paragraph" w:styleId="ListContinue3">
    <w:name w:val="List Continue 3"/>
    <w:basedOn w:val="Normal"/>
    <w:rsid w:val="00871990"/>
    <w:pPr>
      <w:ind w:left="1080"/>
    </w:pPr>
  </w:style>
  <w:style w:type="paragraph" w:styleId="ListContinue4">
    <w:name w:val="List Continue 4"/>
    <w:basedOn w:val="Normal"/>
    <w:rsid w:val="00871990"/>
    <w:pPr>
      <w:ind w:left="1440"/>
    </w:pPr>
  </w:style>
  <w:style w:type="paragraph" w:styleId="ListContinue5">
    <w:name w:val="List Continue 5"/>
    <w:basedOn w:val="Normal"/>
    <w:rsid w:val="00871990"/>
    <w:pPr>
      <w:ind w:left="1800"/>
    </w:pPr>
  </w:style>
  <w:style w:type="paragraph" w:styleId="ListNumber">
    <w:name w:val="List Number"/>
    <w:basedOn w:val="Normal"/>
    <w:rsid w:val="00871990"/>
    <w:pPr>
      <w:numPr>
        <w:numId w:val="7"/>
      </w:numPr>
    </w:pPr>
  </w:style>
  <w:style w:type="paragraph" w:styleId="ListNumber2">
    <w:name w:val="List Number 2"/>
    <w:basedOn w:val="Normal"/>
    <w:rsid w:val="00871990"/>
    <w:pPr>
      <w:numPr>
        <w:numId w:val="8"/>
      </w:numPr>
    </w:pPr>
  </w:style>
  <w:style w:type="paragraph" w:styleId="ListNumber3">
    <w:name w:val="List Number 3"/>
    <w:basedOn w:val="Normal"/>
    <w:rsid w:val="00871990"/>
    <w:pPr>
      <w:numPr>
        <w:numId w:val="9"/>
      </w:numPr>
    </w:pPr>
  </w:style>
  <w:style w:type="paragraph" w:styleId="ListNumber4">
    <w:name w:val="List Number 4"/>
    <w:basedOn w:val="Normal"/>
    <w:rsid w:val="00871990"/>
    <w:pPr>
      <w:numPr>
        <w:numId w:val="10"/>
      </w:numPr>
    </w:pPr>
  </w:style>
  <w:style w:type="paragraph" w:styleId="ListNumber5">
    <w:name w:val="List Number 5"/>
    <w:basedOn w:val="Normal"/>
    <w:rsid w:val="00871990"/>
    <w:pPr>
      <w:numPr>
        <w:numId w:val="11"/>
      </w:numPr>
    </w:pPr>
  </w:style>
  <w:style w:type="paragraph" w:styleId="MacroText">
    <w:name w:val="macro"/>
    <w:semiHidden/>
    <w:rsid w:val="008719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719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871990"/>
    <w:rPr>
      <w:sz w:val="24"/>
    </w:rPr>
  </w:style>
  <w:style w:type="paragraph" w:styleId="NormalIndent">
    <w:name w:val="Normal Indent"/>
    <w:basedOn w:val="Normal"/>
    <w:rsid w:val="00871990"/>
    <w:pPr>
      <w:ind w:left="720"/>
    </w:pPr>
  </w:style>
  <w:style w:type="paragraph" w:styleId="NoteHeading">
    <w:name w:val="Note Heading"/>
    <w:basedOn w:val="Normal"/>
    <w:next w:val="Normal"/>
    <w:rsid w:val="00871990"/>
  </w:style>
  <w:style w:type="paragraph" w:styleId="PlainText">
    <w:name w:val="Plain Text"/>
    <w:basedOn w:val="Normal"/>
    <w:rsid w:val="00871990"/>
    <w:rPr>
      <w:rFonts w:ascii="Courier New" w:hAnsi="Courier New" w:cs="Courier New"/>
      <w:sz w:val="20"/>
    </w:rPr>
  </w:style>
  <w:style w:type="paragraph" w:styleId="Salutation">
    <w:name w:val="Salutation"/>
    <w:basedOn w:val="Normal"/>
    <w:next w:val="Normal"/>
    <w:rsid w:val="00871990"/>
  </w:style>
  <w:style w:type="paragraph" w:styleId="Signature">
    <w:name w:val="Signature"/>
    <w:basedOn w:val="Normal"/>
    <w:rsid w:val="00871990"/>
    <w:pPr>
      <w:ind w:left="4320"/>
    </w:pPr>
  </w:style>
  <w:style w:type="paragraph" w:styleId="Subtitle">
    <w:name w:val="Subtitle"/>
    <w:basedOn w:val="Normal"/>
    <w:qFormat/>
    <w:rsid w:val="00871990"/>
    <w:pPr>
      <w:spacing w:after="60"/>
      <w:jc w:val="center"/>
      <w:outlineLvl w:val="1"/>
    </w:pPr>
    <w:rPr>
      <w:rFonts w:ascii="Arial" w:hAnsi="Arial" w:cs="Arial"/>
      <w:sz w:val="24"/>
    </w:rPr>
  </w:style>
  <w:style w:type="table" w:styleId="Table3Deffects1">
    <w:name w:val="Table 3D effects 1"/>
    <w:basedOn w:val="TableNormal"/>
    <w:rsid w:val="008719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19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19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19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19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19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19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19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19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19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19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19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9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19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19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19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19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719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19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19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19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19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19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19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19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19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19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19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19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19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19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19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19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71990"/>
    <w:pPr>
      <w:ind w:left="260" w:hanging="260"/>
    </w:pPr>
  </w:style>
  <w:style w:type="paragraph" w:styleId="TableofFigures">
    <w:name w:val="table of figures"/>
    <w:basedOn w:val="Normal"/>
    <w:next w:val="Normal"/>
    <w:semiHidden/>
    <w:rsid w:val="00871990"/>
    <w:pPr>
      <w:ind w:left="520" w:hanging="520"/>
    </w:pPr>
  </w:style>
  <w:style w:type="table" w:styleId="TableProfessional">
    <w:name w:val="Table Professional"/>
    <w:basedOn w:val="TableNormal"/>
    <w:rsid w:val="008719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19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19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19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19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19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1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19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19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19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71990"/>
    <w:pPr>
      <w:spacing w:before="120"/>
    </w:pPr>
    <w:rPr>
      <w:rFonts w:ascii="Arial" w:hAnsi="Arial" w:cs="Arial"/>
      <w:b/>
      <w:bCs/>
      <w:sz w:val="24"/>
    </w:rPr>
  </w:style>
  <w:style w:type="paragraph" w:styleId="TOC3">
    <w:name w:val="toc 3"/>
    <w:basedOn w:val="Normal"/>
    <w:next w:val="Normal"/>
    <w:uiPriority w:val="39"/>
    <w:rsid w:val="001B5829"/>
    <w:pPr>
      <w:spacing w:after="0"/>
      <w:ind w:left="475"/>
    </w:pPr>
    <w:rPr>
      <w:szCs w:val="22"/>
    </w:rPr>
  </w:style>
  <w:style w:type="paragraph" w:styleId="TOC4">
    <w:name w:val="toc 4"/>
    <w:basedOn w:val="Normal"/>
    <w:next w:val="Normal"/>
    <w:autoRedefine/>
    <w:uiPriority w:val="39"/>
    <w:rsid w:val="00096E2A"/>
    <w:pPr>
      <w:spacing w:after="0"/>
      <w:ind w:left="720"/>
    </w:pPr>
  </w:style>
  <w:style w:type="paragraph" w:styleId="TOC5">
    <w:name w:val="toc 5"/>
    <w:basedOn w:val="Normal"/>
    <w:next w:val="Normal"/>
    <w:autoRedefine/>
    <w:uiPriority w:val="39"/>
    <w:rsid w:val="00096E2A"/>
    <w:pPr>
      <w:spacing w:after="0"/>
      <w:ind w:left="1037"/>
    </w:pPr>
  </w:style>
  <w:style w:type="paragraph" w:styleId="TOC6">
    <w:name w:val="toc 6"/>
    <w:basedOn w:val="Normal"/>
    <w:next w:val="Normal"/>
    <w:autoRedefine/>
    <w:uiPriority w:val="39"/>
    <w:rsid w:val="00096E2A"/>
    <w:pPr>
      <w:spacing w:after="0"/>
      <w:ind w:left="1296"/>
    </w:pPr>
  </w:style>
  <w:style w:type="paragraph" w:styleId="TOC7">
    <w:name w:val="toc 7"/>
    <w:basedOn w:val="Normal"/>
    <w:next w:val="Normal"/>
    <w:autoRedefine/>
    <w:uiPriority w:val="39"/>
    <w:rsid w:val="00871990"/>
    <w:pPr>
      <w:ind w:left="1560"/>
    </w:pPr>
  </w:style>
  <w:style w:type="paragraph" w:styleId="TOC8">
    <w:name w:val="toc 8"/>
    <w:basedOn w:val="Normal"/>
    <w:next w:val="Normal"/>
    <w:autoRedefine/>
    <w:uiPriority w:val="39"/>
    <w:rsid w:val="00871990"/>
    <w:pPr>
      <w:ind w:left="1820"/>
    </w:pPr>
  </w:style>
  <w:style w:type="paragraph" w:styleId="TOC9">
    <w:name w:val="toc 9"/>
    <w:basedOn w:val="Normal"/>
    <w:next w:val="Normal"/>
    <w:autoRedefine/>
    <w:uiPriority w:val="39"/>
    <w:rsid w:val="00871990"/>
    <w:pPr>
      <w:ind w:left="2080"/>
    </w:pPr>
  </w:style>
  <w:style w:type="paragraph" w:customStyle="1" w:styleId="StyleArial12ptBoldCentered">
    <w:name w:val="Style Arial 12 pt Bold Centered"/>
    <w:basedOn w:val="Normal"/>
    <w:rsid w:val="00C7435B"/>
    <w:pPr>
      <w:keepNext/>
      <w:jc w:val="center"/>
    </w:pPr>
    <w:rPr>
      <w:rFonts w:ascii="Arial" w:hAnsi="Arial"/>
      <w:b/>
      <w:bCs/>
      <w:sz w:val="24"/>
    </w:rPr>
  </w:style>
  <w:style w:type="paragraph" w:customStyle="1" w:styleId="StyleHeading1Before12ptAfter3pt">
    <w:name w:val="Style Heading 1 + Before:  12 pt After:  3 pt"/>
    <w:basedOn w:val="Heading1"/>
    <w:rsid w:val="00693E20"/>
    <w:pPr>
      <w:keepNext/>
      <w:spacing w:before="240" w:after="60"/>
    </w:pPr>
    <w:rPr>
      <w:bCs/>
    </w:rPr>
  </w:style>
  <w:style w:type="paragraph" w:customStyle="1" w:styleId="Pre-Chart">
    <w:name w:val="Pre-Chart"/>
    <w:basedOn w:val="Normal"/>
    <w:rsid w:val="003E3EB7"/>
    <w:pPr>
      <w:pageBreakBefore/>
    </w:pPr>
    <w:rPr>
      <w:szCs w:val="22"/>
    </w:rPr>
  </w:style>
  <w:style w:type="paragraph" w:customStyle="1" w:styleId="tableinfo">
    <w:name w:val="table info"/>
    <w:basedOn w:val="Normal"/>
    <w:rsid w:val="006B7B35"/>
    <w:pPr>
      <w:keepNext/>
      <w:keepLines/>
      <w:numPr>
        <w:numId w:val="1"/>
      </w:numPr>
    </w:pPr>
    <w:rPr>
      <w:szCs w:val="22"/>
    </w:rPr>
  </w:style>
  <w:style w:type="paragraph" w:customStyle="1" w:styleId="WFooter">
    <w:name w:val="WFooter"/>
    <w:basedOn w:val="Normal"/>
    <w:next w:val="Normal"/>
    <w:rsid w:val="001B5829"/>
    <w:pPr>
      <w:pBdr>
        <w:top w:val="single" w:sz="2" w:space="1" w:color="auto"/>
      </w:pBdr>
      <w:jc w:val="center"/>
    </w:pPr>
    <w:rPr>
      <w:i/>
      <w:sz w:val="18"/>
    </w:rPr>
  </w:style>
  <w:style w:type="paragraph" w:customStyle="1" w:styleId="WHeaderOdd">
    <w:name w:val="WHeader Odd"/>
    <w:basedOn w:val="Normal"/>
    <w:next w:val="Normal"/>
    <w:rsid w:val="001B5829"/>
    <w:pPr>
      <w:pBdr>
        <w:bottom w:val="single" w:sz="4" w:space="1" w:color="auto"/>
      </w:pBdr>
      <w:jc w:val="right"/>
    </w:pPr>
    <w:rPr>
      <w:sz w:val="28"/>
    </w:rPr>
  </w:style>
  <w:style w:type="paragraph" w:customStyle="1" w:styleId="WTableHeaderChar">
    <w:name w:val="WTable Header Char"/>
    <w:next w:val="Normal"/>
    <w:link w:val="WTableHeaderCharChar"/>
    <w:rsid w:val="001B5829"/>
    <w:pPr>
      <w:spacing w:before="40" w:after="40"/>
      <w:jc w:val="center"/>
    </w:pPr>
    <w:rPr>
      <w:rFonts w:ascii="Arial" w:hAnsi="Arial"/>
      <w:b/>
      <w:sz w:val="22"/>
      <w:szCs w:val="24"/>
    </w:rPr>
  </w:style>
  <w:style w:type="character" w:customStyle="1" w:styleId="WTableHeaderCharChar">
    <w:name w:val="WTable Header Char Char"/>
    <w:basedOn w:val="DefaultParagraphFont"/>
    <w:link w:val="WTableHeaderChar"/>
    <w:rsid w:val="001B5829"/>
    <w:rPr>
      <w:rFonts w:ascii="Arial" w:hAnsi="Arial"/>
      <w:b/>
      <w:sz w:val="22"/>
      <w:szCs w:val="24"/>
      <w:lang w:val="en-US" w:eastAsia="en-US" w:bidi="ar-SA"/>
    </w:rPr>
  </w:style>
  <w:style w:type="paragraph" w:customStyle="1" w:styleId="wTableNormal">
    <w:name w:val="wTable Normal"/>
    <w:basedOn w:val="Normal"/>
    <w:next w:val="Normal"/>
    <w:rsid w:val="001B5829"/>
    <w:pPr>
      <w:spacing w:before="20" w:after="20"/>
    </w:pPr>
    <w:rPr>
      <w:rFonts w:ascii="Arial" w:hAnsi="Arial"/>
      <w:sz w:val="20"/>
    </w:rPr>
  </w:style>
  <w:style w:type="paragraph" w:customStyle="1" w:styleId="WHeading3">
    <w:name w:val="WHeading 3"/>
    <w:basedOn w:val="Normal"/>
    <w:next w:val="Normal"/>
    <w:rsid w:val="001B5829"/>
    <w:pPr>
      <w:keepNext/>
      <w:keepLines/>
      <w:spacing w:before="240" w:after="60"/>
    </w:pPr>
    <w:rPr>
      <w:rFonts w:ascii="Arial" w:hAnsi="Arial"/>
      <w:b/>
      <w:i/>
      <w:sz w:val="24"/>
    </w:rPr>
  </w:style>
  <w:style w:type="table" w:customStyle="1" w:styleId="WTableOutline">
    <w:name w:val="WTable Outline"/>
    <w:basedOn w:val="TableNormal"/>
    <w:rsid w:val="001B5829"/>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E3F4FF"/>
      </w:tcPr>
    </w:tblStylePr>
  </w:style>
  <w:style w:type="paragraph" w:customStyle="1" w:styleId="wTableSections">
    <w:name w:val="wTable Sections"/>
    <w:basedOn w:val="Normal"/>
    <w:rsid w:val="001B5829"/>
    <w:pPr>
      <w:spacing w:before="40" w:after="40"/>
      <w:jc w:val="center"/>
    </w:pPr>
    <w:rPr>
      <w:rFonts w:ascii="Arial" w:hAnsi="Arial"/>
      <w:b/>
      <w:sz w:val="20"/>
      <w:szCs w:val="22"/>
    </w:rPr>
  </w:style>
  <w:style w:type="numbering" w:customStyle="1" w:styleId="WListBCi">
    <w:name w:val="WList B_C_i"/>
    <w:basedOn w:val="NoList"/>
    <w:rsid w:val="001B5829"/>
    <w:pPr>
      <w:numPr>
        <w:numId w:val="12"/>
      </w:numPr>
    </w:pPr>
  </w:style>
  <w:style w:type="paragraph" w:customStyle="1" w:styleId="WTitle">
    <w:name w:val="WTitle"/>
    <w:basedOn w:val="Normal"/>
    <w:next w:val="Normal"/>
    <w:rsid w:val="001B5829"/>
    <w:pPr>
      <w:keepNext/>
      <w:keepLines/>
      <w:spacing w:after="240"/>
      <w:jc w:val="center"/>
    </w:pPr>
    <w:rPr>
      <w:b/>
      <w:sz w:val="56"/>
      <w:szCs w:val="56"/>
    </w:rPr>
  </w:style>
  <w:style w:type="paragraph" w:customStyle="1" w:styleId="WHeaderEven">
    <w:name w:val="WHeader Even"/>
    <w:basedOn w:val="WHeaderOdd"/>
    <w:next w:val="Normal"/>
    <w:rsid w:val="001B5829"/>
    <w:pPr>
      <w:jc w:val="left"/>
    </w:pPr>
  </w:style>
  <w:style w:type="paragraph" w:customStyle="1" w:styleId="WBlockText">
    <w:name w:val="WBlockText"/>
    <w:basedOn w:val="Normal"/>
    <w:next w:val="Normal"/>
    <w:rsid w:val="001B5829"/>
    <w:pPr>
      <w:ind w:left="547" w:right="634"/>
    </w:pPr>
  </w:style>
  <w:style w:type="numbering" w:customStyle="1" w:styleId="WList1a0">
    <w:name w:val="WList 1_a"/>
    <w:basedOn w:val="NoList"/>
    <w:rsid w:val="001B5829"/>
    <w:pPr>
      <w:numPr>
        <w:numId w:val="13"/>
      </w:numPr>
    </w:pPr>
  </w:style>
  <w:style w:type="numbering" w:customStyle="1" w:styleId="WList1a">
    <w:name w:val="WList1_a"/>
    <w:basedOn w:val="WList1a0"/>
    <w:rsid w:val="001B5829"/>
    <w:pPr>
      <w:numPr>
        <w:numId w:val="14"/>
      </w:numPr>
    </w:pPr>
  </w:style>
  <w:style w:type="numbering" w:customStyle="1" w:styleId="WListR">
    <w:name w:val="WList R"/>
    <w:basedOn w:val="NoList"/>
    <w:rsid w:val="001B5829"/>
    <w:pPr>
      <w:numPr>
        <w:numId w:val="15"/>
      </w:numPr>
    </w:pPr>
  </w:style>
  <w:style w:type="numbering" w:customStyle="1" w:styleId="WListTable">
    <w:name w:val="WList_Table"/>
    <w:basedOn w:val="WListBCi"/>
    <w:rsid w:val="001B5829"/>
    <w:pPr>
      <w:numPr>
        <w:numId w:val="16"/>
      </w:numPr>
    </w:pPr>
  </w:style>
  <w:style w:type="numbering" w:customStyle="1" w:styleId="WLista">
    <w:name w:val="WList_a"/>
    <w:basedOn w:val="NoList"/>
    <w:rsid w:val="001B5829"/>
    <w:pPr>
      <w:numPr>
        <w:numId w:val="17"/>
      </w:numPr>
    </w:pPr>
  </w:style>
  <w:style w:type="table" w:customStyle="1" w:styleId="wNoteTable">
    <w:name w:val="wNote Table"/>
    <w:basedOn w:val="TableGrid"/>
    <w:rsid w:val="001B5829"/>
    <w:pPr>
      <w:tabs>
        <w:tab w:val="right" w:pos="8640"/>
      </w:tabs>
      <w:spacing w:after="0"/>
    </w:pPr>
    <w:rPr>
      <w:rFonts w:ascii="Arial" w:hAnsi="Arial"/>
    </w:rPr>
    <w:tblPr>
      <w:tblBorders>
        <w:top w:val="single" w:sz="12" w:space="0" w:color="B2B2B2"/>
        <w:left w:val="none" w:sz="0" w:space="0" w:color="auto"/>
        <w:bottom w:val="single" w:sz="12" w:space="0" w:color="B2B2B2"/>
        <w:right w:val="none" w:sz="0" w:space="0" w:color="auto"/>
        <w:insideH w:val="none" w:sz="0" w:space="0" w:color="auto"/>
        <w:insideV w:val="none" w:sz="0" w:space="0" w:color="auto"/>
      </w:tblBorders>
    </w:tblPr>
  </w:style>
  <w:style w:type="numbering" w:customStyle="1" w:styleId="WListB1">
    <w:name w:val="WList_B_1"/>
    <w:basedOn w:val="WListBCi"/>
    <w:rsid w:val="001B5829"/>
    <w:pPr>
      <w:numPr>
        <w:numId w:val="48"/>
      </w:numPr>
    </w:pPr>
  </w:style>
  <w:style w:type="numbering" w:customStyle="1" w:styleId="WListi">
    <w:name w:val="WList(i)"/>
    <w:basedOn w:val="NoList"/>
    <w:rsid w:val="001B5829"/>
    <w:pPr>
      <w:numPr>
        <w:numId w:val="49"/>
      </w:numPr>
    </w:pPr>
  </w:style>
  <w:style w:type="table" w:customStyle="1" w:styleId="wNoteTablewGraphic">
    <w:name w:val="wNote Table w/Graphic"/>
    <w:basedOn w:val="TableNormal"/>
    <w:rsid w:val="001B5829"/>
    <w:rPr>
      <w:rFonts w:ascii="Arial" w:hAnsi="Arial"/>
    </w:rPr>
    <w:tblPr>
      <w:jc w:val="center"/>
      <w:tblBorders>
        <w:top w:val="single" w:sz="12" w:space="0" w:color="B2B2B2"/>
        <w:bottom w:val="single" w:sz="12" w:space="0" w:color="B2B2B2"/>
      </w:tblBorders>
    </w:tblPr>
    <w:trPr>
      <w:cantSplit/>
      <w:jc w:val="center"/>
    </w:trPr>
  </w:style>
  <w:style w:type="numbering" w:customStyle="1" w:styleId="WList1a1">
    <w:name w:val="WList(1)_(a)"/>
    <w:basedOn w:val="NoList"/>
    <w:rsid w:val="001B5829"/>
    <w:pPr>
      <w:numPr>
        <w:numId w:val="50"/>
      </w:numPr>
    </w:pPr>
  </w:style>
  <w:style w:type="character" w:styleId="FootnoteReference">
    <w:name w:val="footnote reference"/>
    <w:basedOn w:val="DefaultParagraphFont"/>
    <w:semiHidden/>
    <w:rsid w:val="00E2151C"/>
    <w:rPr>
      <w:vertAlign w:val="superscript"/>
    </w:rPr>
  </w:style>
  <w:style w:type="paragraph" w:styleId="ListParagraph">
    <w:name w:val="List Paragraph"/>
    <w:basedOn w:val="Normal"/>
    <w:uiPriority w:val="34"/>
    <w:qFormat/>
    <w:rsid w:val="00827A5A"/>
    <w:pPr>
      <w:ind w:left="720"/>
      <w:contextualSpacing/>
    </w:pPr>
  </w:style>
  <w:style w:type="character" w:customStyle="1" w:styleId="BalloonTextChar">
    <w:name w:val="Balloon Text Char"/>
    <w:link w:val="BalloonText"/>
    <w:rsid w:val="00AF4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V:\Course%20Development\Course%20building%20material\Templates\webceCours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AAFF-AEAF-4D9E-A609-4B25A36C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V:\Course Development\Course building material\Templates\webceCourse3.dot</Template>
  <TotalTime>0</TotalTime>
  <Pages>89</Pages>
  <Words>36943</Words>
  <Characters>210577</Characters>
  <Application>Microsoft Office Word</Application>
  <DocSecurity>0</DocSecurity>
  <Lines>1754</Lines>
  <Paragraphs>494</Paragraphs>
  <ScaleCrop>false</ScaleCrop>
  <HeadingPairs>
    <vt:vector size="2" baseType="variant">
      <vt:variant>
        <vt:lpstr>Title</vt:lpstr>
      </vt:variant>
      <vt:variant>
        <vt:i4>1</vt:i4>
      </vt:variant>
    </vt:vector>
  </HeadingPairs>
  <TitlesOfParts>
    <vt:vector size="1" baseType="lpstr">
      <vt:lpstr>Individual Retirement Accounts (CPE version)</vt:lpstr>
    </vt:vector>
  </TitlesOfParts>
  <Company/>
  <LinksUpToDate>false</LinksUpToDate>
  <CharactersWithSpaces>247026</CharactersWithSpaces>
  <SharedDoc>false</SharedDoc>
  <HLinks>
    <vt:vector size="792" baseType="variant">
      <vt:variant>
        <vt:i4>1114160</vt:i4>
      </vt:variant>
      <vt:variant>
        <vt:i4>788</vt:i4>
      </vt:variant>
      <vt:variant>
        <vt:i4>0</vt:i4>
      </vt:variant>
      <vt:variant>
        <vt:i4>5</vt:i4>
      </vt:variant>
      <vt:variant>
        <vt:lpwstr/>
      </vt:variant>
      <vt:variant>
        <vt:lpwstr>_Toc254277161</vt:lpwstr>
      </vt:variant>
      <vt:variant>
        <vt:i4>1114160</vt:i4>
      </vt:variant>
      <vt:variant>
        <vt:i4>782</vt:i4>
      </vt:variant>
      <vt:variant>
        <vt:i4>0</vt:i4>
      </vt:variant>
      <vt:variant>
        <vt:i4>5</vt:i4>
      </vt:variant>
      <vt:variant>
        <vt:lpwstr/>
      </vt:variant>
      <vt:variant>
        <vt:lpwstr>_Toc254277160</vt:lpwstr>
      </vt:variant>
      <vt:variant>
        <vt:i4>1179696</vt:i4>
      </vt:variant>
      <vt:variant>
        <vt:i4>776</vt:i4>
      </vt:variant>
      <vt:variant>
        <vt:i4>0</vt:i4>
      </vt:variant>
      <vt:variant>
        <vt:i4>5</vt:i4>
      </vt:variant>
      <vt:variant>
        <vt:lpwstr/>
      </vt:variant>
      <vt:variant>
        <vt:lpwstr>_Toc254277159</vt:lpwstr>
      </vt:variant>
      <vt:variant>
        <vt:i4>1179696</vt:i4>
      </vt:variant>
      <vt:variant>
        <vt:i4>770</vt:i4>
      </vt:variant>
      <vt:variant>
        <vt:i4>0</vt:i4>
      </vt:variant>
      <vt:variant>
        <vt:i4>5</vt:i4>
      </vt:variant>
      <vt:variant>
        <vt:lpwstr/>
      </vt:variant>
      <vt:variant>
        <vt:lpwstr>_Toc254277158</vt:lpwstr>
      </vt:variant>
      <vt:variant>
        <vt:i4>1179696</vt:i4>
      </vt:variant>
      <vt:variant>
        <vt:i4>764</vt:i4>
      </vt:variant>
      <vt:variant>
        <vt:i4>0</vt:i4>
      </vt:variant>
      <vt:variant>
        <vt:i4>5</vt:i4>
      </vt:variant>
      <vt:variant>
        <vt:lpwstr/>
      </vt:variant>
      <vt:variant>
        <vt:lpwstr>_Toc254277157</vt:lpwstr>
      </vt:variant>
      <vt:variant>
        <vt:i4>1179696</vt:i4>
      </vt:variant>
      <vt:variant>
        <vt:i4>758</vt:i4>
      </vt:variant>
      <vt:variant>
        <vt:i4>0</vt:i4>
      </vt:variant>
      <vt:variant>
        <vt:i4>5</vt:i4>
      </vt:variant>
      <vt:variant>
        <vt:lpwstr/>
      </vt:variant>
      <vt:variant>
        <vt:lpwstr>_Toc254277156</vt:lpwstr>
      </vt:variant>
      <vt:variant>
        <vt:i4>1179696</vt:i4>
      </vt:variant>
      <vt:variant>
        <vt:i4>752</vt:i4>
      </vt:variant>
      <vt:variant>
        <vt:i4>0</vt:i4>
      </vt:variant>
      <vt:variant>
        <vt:i4>5</vt:i4>
      </vt:variant>
      <vt:variant>
        <vt:lpwstr/>
      </vt:variant>
      <vt:variant>
        <vt:lpwstr>_Toc254277155</vt:lpwstr>
      </vt:variant>
      <vt:variant>
        <vt:i4>1179696</vt:i4>
      </vt:variant>
      <vt:variant>
        <vt:i4>746</vt:i4>
      </vt:variant>
      <vt:variant>
        <vt:i4>0</vt:i4>
      </vt:variant>
      <vt:variant>
        <vt:i4>5</vt:i4>
      </vt:variant>
      <vt:variant>
        <vt:lpwstr/>
      </vt:variant>
      <vt:variant>
        <vt:lpwstr>_Toc254277154</vt:lpwstr>
      </vt:variant>
      <vt:variant>
        <vt:i4>1179696</vt:i4>
      </vt:variant>
      <vt:variant>
        <vt:i4>740</vt:i4>
      </vt:variant>
      <vt:variant>
        <vt:i4>0</vt:i4>
      </vt:variant>
      <vt:variant>
        <vt:i4>5</vt:i4>
      </vt:variant>
      <vt:variant>
        <vt:lpwstr/>
      </vt:variant>
      <vt:variant>
        <vt:lpwstr>_Toc254277153</vt:lpwstr>
      </vt:variant>
      <vt:variant>
        <vt:i4>1179696</vt:i4>
      </vt:variant>
      <vt:variant>
        <vt:i4>734</vt:i4>
      </vt:variant>
      <vt:variant>
        <vt:i4>0</vt:i4>
      </vt:variant>
      <vt:variant>
        <vt:i4>5</vt:i4>
      </vt:variant>
      <vt:variant>
        <vt:lpwstr/>
      </vt:variant>
      <vt:variant>
        <vt:lpwstr>_Toc254277152</vt:lpwstr>
      </vt:variant>
      <vt:variant>
        <vt:i4>1179696</vt:i4>
      </vt:variant>
      <vt:variant>
        <vt:i4>728</vt:i4>
      </vt:variant>
      <vt:variant>
        <vt:i4>0</vt:i4>
      </vt:variant>
      <vt:variant>
        <vt:i4>5</vt:i4>
      </vt:variant>
      <vt:variant>
        <vt:lpwstr/>
      </vt:variant>
      <vt:variant>
        <vt:lpwstr>_Toc254277151</vt:lpwstr>
      </vt:variant>
      <vt:variant>
        <vt:i4>1179696</vt:i4>
      </vt:variant>
      <vt:variant>
        <vt:i4>722</vt:i4>
      </vt:variant>
      <vt:variant>
        <vt:i4>0</vt:i4>
      </vt:variant>
      <vt:variant>
        <vt:i4>5</vt:i4>
      </vt:variant>
      <vt:variant>
        <vt:lpwstr/>
      </vt:variant>
      <vt:variant>
        <vt:lpwstr>_Toc254277150</vt:lpwstr>
      </vt:variant>
      <vt:variant>
        <vt:i4>1245232</vt:i4>
      </vt:variant>
      <vt:variant>
        <vt:i4>716</vt:i4>
      </vt:variant>
      <vt:variant>
        <vt:i4>0</vt:i4>
      </vt:variant>
      <vt:variant>
        <vt:i4>5</vt:i4>
      </vt:variant>
      <vt:variant>
        <vt:lpwstr/>
      </vt:variant>
      <vt:variant>
        <vt:lpwstr>_Toc254277149</vt:lpwstr>
      </vt:variant>
      <vt:variant>
        <vt:i4>1245232</vt:i4>
      </vt:variant>
      <vt:variant>
        <vt:i4>710</vt:i4>
      </vt:variant>
      <vt:variant>
        <vt:i4>0</vt:i4>
      </vt:variant>
      <vt:variant>
        <vt:i4>5</vt:i4>
      </vt:variant>
      <vt:variant>
        <vt:lpwstr/>
      </vt:variant>
      <vt:variant>
        <vt:lpwstr>_Toc254277148</vt:lpwstr>
      </vt:variant>
      <vt:variant>
        <vt:i4>1245232</vt:i4>
      </vt:variant>
      <vt:variant>
        <vt:i4>704</vt:i4>
      </vt:variant>
      <vt:variant>
        <vt:i4>0</vt:i4>
      </vt:variant>
      <vt:variant>
        <vt:i4>5</vt:i4>
      </vt:variant>
      <vt:variant>
        <vt:lpwstr/>
      </vt:variant>
      <vt:variant>
        <vt:lpwstr>_Toc254277147</vt:lpwstr>
      </vt:variant>
      <vt:variant>
        <vt:i4>1245232</vt:i4>
      </vt:variant>
      <vt:variant>
        <vt:i4>698</vt:i4>
      </vt:variant>
      <vt:variant>
        <vt:i4>0</vt:i4>
      </vt:variant>
      <vt:variant>
        <vt:i4>5</vt:i4>
      </vt:variant>
      <vt:variant>
        <vt:lpwstr/>
      </vt:variant>
      <vt:variant>
        <vt:lpwstr>_Toc254277146</vt:lpwstr>
      </vt:variant>
      <vt:variant>
        <vt:i4>1245232</vt:i4>
      </vt:variant>
      <vt:variant>
        <vt:i4>692</vt:i4>
      </vt:variant>
      <vt:variant>
        <vt:i4>0</vt:i4>
      </vt:variant>
      <vt:variant>
        <vt:i4>5</vt:i4>
      </vt:variant>
      <vt:variant>
        <vt:lpwstr/>
      </vt:variant>
      <vt:variant>
        <vt:lpwstr>_Toc254277145</vt:lpwstr>
      </vt:variant>
      <vt:variant>
        <vt:i4>1245232</vt:i4>
      </vt:variant>
      <vt:variant>
        <vt:i4>686</vt:i4>
      </vt:variant>
      <vt:variant>
        <vt:i4>0</vt:i4>
      </vt:variant>
      <vt:variant>
        <vt:i4>5</vt:i4>
      </vt:variant>
      <vt:variant>
        <vt:lpwstr/>
      </vt:variant>
      <vt:variant>
        <vt:lpwstr>_Toc254277144</vt:lpwstr>
      </vt:variant>
      <vt:variant>
        <vt:i4>1245232</vt:i4>
      </vt:variant>
      <vt:variant>
        <vt:i4>680</vt:i4>
      </vt:variant>
      <vt:variant>
        <vt:i4>0</vt:i4>
      </vt:variant>
      <vt:variant>
        <vt:i4>5</vt:i4>
      </vt:variant>
      <vt:variant>
        <vt:lpwstr/>
      </vt:variant>
      <vt:variant>
        <vt:lpwstr>_Toc254277143</vt:lpwstr>
      </vt:variant>
      <vt:variant>
        <vt:i4>1245232</vt:i4>
      </vt:variant>
      <vt:variant>
        <vt:i4>674</vt:i4>
      </vt:variant>
      <vt:variant>
        <vt:i4>0</vt:i4>
      </vt:variant>
      <vt:variant>
        <vt:i4>5</vt:i4>
      </vt:variant>
      <vt:variant>
        <vt:lpwstr/>
      </vt:variant>
      <vt:variant>
        <vt:lpwstr>_Toc254277142</vt:lpwstr>
      </vt:variant>
      <vt:variant>
        <vt:i4>1245232</vt:i4>
      </vt:variant>
      <vt:variant>
        <vt:i4>668</vt:i4>
      </vt:variant>
      <vt:variant>
        <vt:i4>0</vt:i4>
      </vt:variant>
      <vt:variant>
        <vt:i4>5</vt:i4>
      </vt:variant>
      <vt:variant>
        <vt:lpwstr/>
      </vt:variant>
      <vt:variant>
        <vt:lpwstr>_Toc254277141</vt:lpwstr>
      </vt:variant>
      <vt:variant>
        <vt:i4>1245232</vt:i4>
      </vt:variant>
      <vt:variant>
        <vt:i4>662</vt:i4>
      </vt:variant>
      <vt:variant>
        <vt:i4>0</vt:i4>
      </vt:variant>
      <vt:variant>
        <vt:i4>5</vt:i4>
      </vt:variant>
      <vt:variant>
        <vt:lpwstr/>
      </vt:variant>
      <vt:variant>
        <vt:lpwstr>_Toc254277140</vt:lpwstr>
      </vt:variant>
      <vt:variant>
        <vt:i4>1310768</vt:i4>
      </vt:variant>
      <vt:variant>
        <vt:i4>656</vt:i4>
      </vt:variant>
      <vt:variant>
        <vt:i4>0</vt:i4>
      </vt:variant>
      <vt:variant>
        <vt:i4>5</vt:i4>
      </vt:variant>
      <vt:variant>
        <vt:lpwstr/>
      </vt:variant>
      <vt:variant>
        <vt:lpwstr>_Toc254277139</vt:lpwstr>
      </vt:variant>
      <vt:variant>
        <vt:i4>1310768</vt:i4>
      </vt:variant>
      <vt:variant>
        <vt:i4>650</vt:i4>
      </vt:variant>
      <vt:variant>
        <vt:i4>0</vt:i4>
      </vt:variant>
      <vt:variant>
        <vt:i4>5</vt:i4>
      </vt:variant>
      <vt:variant>
        <vt:lpwstr/>
      </vt:variant>
      <vt:variant>
        <vt:lpwstr>_Toc254277138</vt:lpwstr>
      </vt:variant>
      <vt:variant>
        <vt:i4>1310768</vt:i4>
      </vt:variant>
      <vt:variant>
        <vt:i4>644</vt:i4>
      </vt:variant>
      <vt:variant>
        <vt:i4>0</vt:i4>
      </vt:variant>
      <vt:variant>
        <vt:i4>5</vt:i4>
      </vt:variant>
      <vt:variant>
        <vt:lpwstr/>
      </vt:variant>
      <vt:variant>
        <vt:lpwstr>_Toc254277137</vt:lpwstr>
      </vt:variant>
      <vt:variant>
        <vt:i4>1310768</vt:i4>
      </vt:variant>
      <vt:variant>
        <vt:i4>638</vt:i4>
      </vt:variant>
      <vt:variant>
        <vt:i4>0</vt:i4>
      </vt:variant>
      <vt:variant>
        <vt:i4>5</vt:i4>
      </vt:variant>
      <vt:variant>
        <vt:lpwstr/>
      </vt:variant>
      <vt:variant>
        <vt:lpwstr>_Toc254277136</vt:lpwstr>
      </vt:variant>
      <vt:variant>
        <vt:i4>1310768</vt:i4>
      </vt:variant>
      <vt:variant>
        <vt:i4>632</vt:i4>
      </vt:variant>
      <vt:variant>
        <vt:i4>0</vt:i4>
      </vt:variant>
      <vt:variant>
        <vt:i4>5</vt:i4>
      </vt:variant>
      <vt:variant>
        <vt:lpwstr/>
      </vt:variant>
      <vt:variant>
        <vt:lpwstr>_Toc254277135</vt:lpwstr>
      </vt:variant>
      <vt:variant>
        <vt:i4>1310768</vt:i4>
      </vt:variant>
      <vt:variant>
        <vt:i4>626</vt:i4>
      </vt:variant>
      <vt:variant>
        <vt:i4>0</vt:i4>
      </vt:variant>
      <vt:variant>
        <vt:i4>5</vt:i4>
      </vt:variant>
      <vt:variant>
        <vt:lpwstr/>
      </vt:variant>
      <vt:variant>
        <vt:lpwstr>_Toc254277134</vt:lpwstr>
      </vt:variant>
      <vt:variant>
        <vt:i4>1310768</vt:i4>
      </vt:variant>
      <vt:variant>
        <vt:i4>620</vt:i4>
      </vt:variant>
      <vt:variant>
        <vt:i4>0</vt:i4>
      </vt:variant>
      <vt:variant>
        <vt:i4>5</vt:i4>
      </vt:variant>
      <vt:variant>
        <vt:lpwstr/>
      </vt:variant>
      <vt:variant>
        <vt:lpwstr>_Toc254277133</vt:lpwstr>
      </vt:variant>
      <vt:variant>
        <vt:i4>1310768</vt:i4>
      </vt:variant>
      <vt:variant>
        <vt:i4>614</vt:i4>
      </vt:variant>
      <vt:variant>
        <vt:i4>0</vt:i4>
      </vt:variant>
      <vt:variant>
        <vt:i4>5</vt:i4>
      </vt:variant>
      <vt:variant>
        <vt:lpwstr/>
      </vt:variant>
      <vt:variant>
        <vt:lpwstr>_Toc254277132</vt:lpwstr>
      </vt:variant>
      <vt:variant>
        <vt:i4>1310768</vt:i4>
      </vt:variant>
      <vt:variant>
        <vt:i4>608</vt:i4>
      </vt:variant>
      <vt:variant>
        <vt:i4>0</vt:i4>
      </vt:variant>
      <vt:variant>
        <vt:i4>5</vt:i4>
      </vt:variant>
      <vt:variant>
        <vt:lpwstr/>
      </vt:variant>
      <vt:variant>
        <vt:lpwstr>_Toc254277131</vt:lpwstr>
      </vt:variant>
      <vt:variant>
        <vt:i4>1310768</vt:i4>
      </vt:variant>
      <vt:variant>
        <vt:i4>602</vt:i4>
      </vt:variant>
      <vt:variant>
        <vt:i4>0</vt:i4>
      </vt:variant>
      <vt:variant>
        <vt:i4>5</vt:i4>
      </vt:variant>
      <vt:variant>
        <vt:lpwstr/>
      </vt:variant>
      <vt:variant>
        <vt:lpwstr>_Toc254277130</vt:lpwstr>
      </vt:variant>
      <vt:variant>
        <vt:i4>1376304</vt:i4>
      </vt:variant>
      <vt:variant>
        <vt:i4>596</vt:i4>
      </vt:variant>
      <vt:variant>
        <vt:i4>0</vt:i4>
      </vt:variant>
      <vt:variant>
        <vt:i4>5</vt:i4>
      </vt:variant>
      <vt:variant>
        <vt:lpwstr/>
      </vt:variant>
      <vt:variant>
        <vt:lpwstr>_Toc254277129</vt:lpwstr>
      </vt:variant>
      <vt:variant>
        <vt:i4>1376304</vt:i4>
      </vt:variant>
      <vt:variant>
        <vt:i4>590</vt:i4>
      </vt:variant>
      <vt:variant>
        <vt:i4>0</vt:i4>
      </vt:variant>
      <vt:variant>
        <vt:i4>5</vt:i4>
      </vt:variant>
      <vt:variant>
        <vt:lpwstr/>
      </vt:variant>
      <vt:variant>
        <vt:lpwstr>_Toc254277128</vt:lpwstr>
      </vt:variant>
      <vt:variant>
        <vt:i4>1376304</vt:i4>
      </vt:variant>
      <vt:variant>
        <vt:i4>584</vt:i4>
      </vt:variant>
      <vt:variant>
        <vt:i4>0</vt:i4>
      </vt:variant>
      <vt:variant>
        <vt:i4>5</vt:i4>
      </vt:variant>
      <vt:variant>
        <vt:lpwstr/>
      </vt:variant>
      <vt:variant>
        <vt:lpwstr>_Toc254277127</vt:lpwstr>
      </vt:variant>
      <vt:variant>
        <vt:i4>1376304</vt:i4>
      </vt:variant>
      <vt:variant>
        <vt:i4>578</vt:i4>
      </vt:variant>
      <vt:variant>
        <vt:i4>0</vt:i4>
      </vt:variant>
      <vt:variant>
        <vt:i4>5</vt:i4>
      </vt:variant>
      <vt:variant>
        <vt:lpwstr/>
      </vt:variant>
      <vt:variant>
        <vt:lpwstr>_Toc254277126</vt:lpwstr>
      </vt:variant>
      <vt:variant>
        <vt:i4>1376304</vt:i4>
      </vt:variant>
      <vt:variant>
        <vt:i4>572</vt:i4>
      </vt:variant>
      <vt:variant>
        <vt:i4>0</vt:i4>
      </vt:variant>
      <vt:variant>
        <vt:i4>5</vt:i4>
      </vt:variant>
      <vt:variant>
        <vt:lpwstr/>
      </vt:variant>
      <vt:variant>
        <vt:lpwstr>_Toc254277125</vt:lpwstr>
      </vt:variant>
      <vt:variant>
        <vt:i4>1376304</vt:i4>
      </vt:variant>
      <vt:variant>
        <vt:i4>566</vt:i4>
      </vt:variant>
      <vt:variant>
        <vt:i4>0</vt:i4>
      </vt:variant>
      <vt:variant>
        <vt:i4>5</vt:i4>
      </vt:variant>
      <vt:variant>
        <vt:lpwstr/>
      </vt:variant>
      <vt:variant>
        <vt:lpwstr>_Toc254277124</vt:lpwstr>
      </vt:variant>
      <vt:variant>
        <vt:i4>1376304</vt:i4>
      </vt:variant>
      <vt:variant>
        <vt:i4>560</vt:i4>
      </vt:variant>
      <vt:variant>
        <vt:i4>0</vt:i4>
      </vt:variant>
      <vt:variant>
        <vt:i4>5</vt:i4>
      </vt:variant>
      <vt:variant>
        <vt:lpwstr/>
      </vt:variant>
      <vt:variant>
        <vt:lpwstr>_Toc254277123</vt:lpwstr>
      </vt:variant>
      <vt:variant>
        <vt:i4>1376304</vt:i4>
      </vt:variant>
      <vt:variant>
        <vt:i4>554</vt:i4>
      </vt:variant>
      <vt:variant>
        <vt:i4>0</vt:i4>
      </vt:variant>
      <vt:variant>
        <vt:i4>5</vt:i4>
      </vt:variant>
      <vt:variant>
        <vt:lpwstr/>
      </vt:variant>
      <vt:variant>
        <vt:lpwstr>_Toc254277122</vt:lpwstr>
      </vt:variant>
      <vt:variant>
        <vt:i4>1376304</vt:i4>
      </vt:variant>
      <vt:variant>
        <vt:i4>548</vt:i4>
      </vt:variant>
      <vt:variant>
        <vt:i4>0</vt:i4>
      </vt:variant>
      <vt:variant>
        <vt:i4>5</vt:i4>
      </vt:variant>
      <vt:variant>
        <vt:lpwstr/>
      </vt:variant>
      <vt:variant>
        <vt:lpwstr>_Toc254277121</vt:lpwstr>
      </vt:variant>
      <vt:variant>
        <vt:i4>1376304</vt:i4>
      </vt:variant>
      <vt:variant>
        <vt:i4>542</vt:i4>
      </vt:variant>
      <vt:variant>
        <vt:i4>0</vt:i4>
      </vt:variant>
      <vt:variant>
        <vt:i4>5</vt:i4>
      </vt:variant>
      <vt:variant>
        <vt:lpwstr/>
      </vt:variant>
      <vt:variant>
        <vt:lpwstr>_Toc254277120</vt:lpwstr>
      </vt:variant>
      <vt:variant>
        <vt:i4>1441840</vt:i4>
      </vt:variant>
      <vt:variant>
        <vt:i4>536</vt:i4>
      </vt:variant>
      <vt:variant>
        <vt:i4>0</vt:i4>
      </vt:variant>
      <vt:variant>
        <vt:i4>5</vt:i4>
      </vt:variant>
      <vt:variant>
        <vt:lpwstr/>
      </vt:variant>
      <vt:variant>
        <vt:lpwstr>_Toc254277119</vt:lpwstr>
      </vt:variant>
      <vt:variant>
        <vt:i4>1441840</vt:i4>
      </vt:variant>
      <vt:variant>
        <vt:i4>530</vt:i4>
      </vt:variant>
      <vt:variant>
        <vt:i4>0</vt:i4>
      </vt:variant>
      <vt:variant>
        <vt:i4>5</vt:i4>
      </vt:variant>
      <vt:variant>
        <vt:lpwstr/>
      </vt:variant>
      <vt:variant>
        <vt:lpwstr>_Toc254277118</vt:lpwstr>
      </vt:variant>
      <vt:variant>
        <vt:i4>1441840</vt:i4>
      </vt:variant>
      <vt:variant>
        <vt:i4>524</vt:i4>
      </vt:variant>
      <vt:variant>
        <vt:i4>0</vt:i4>
      </vt:variant>
      <vt:variant>
        <vt:i4>5</vt:i4>
      </vt:variant>
      <vt:variant>
        <vt:lpwstr/>
      </vt:variant>
      <vt:variant>
        <vt:lpwstr>_Toc254277117</vt:lpwstr>
      </vt:variant>
      <vt:variant>
        <vt:i4>1441840</vt:i4>
      </vt:variant>
      <vt:variant>
        <vt:i4>518</vt:i4>
      </vt:variant>
      <vt:variant>
        <vt:i4>0</vt:i4>
      </vt:variant>
      <vt:variant>
        <vt:i4>5</vt:i4>
      </vt:variant>
      <vt:variant>
        <vt:lpwstr/>
      </vt:variant>
      <vt:variant>
        <vt:lpwstr>_Toc254277116</vt:lpwstr>
      </vt:variant>
      <vt:variant>
        <vt:i4>1441840</vt:i4>
      </vt:variant>
      <vt:variant>
        <vt:i4>512</vt:i4>
      </vt:variant>
      <vt:variant>
        <vt:i4>0</vt:i4>
      </vt:variant>
      <vt:variant>
        <vt:i4>5</vt:i4>
      </vt:variant>
      <vt:variant>
        <vt:lpwstr/>
      </vt:variant>
      <vt:variant>
        <vt:lpwstr>_Toc254277115</vt:lpwstr>
      </vt:variant>
      <vt:variant>
        <vt:i4>1441840</vt:i4>
      </vt:variant>
      <vt:variant>
        <vt:i4>506</vt:i4>
      </vt:variant>
      <vt:variant>
        <vt:i4>0</vt:i4>
      </vt:variant>
      <vt:variant>
        <vt:i4>5</vt:i4>
      </vt:variant>
      <vt:variant>
        <vt:lpwstr/>
      </vt:variant>
      <vt:variant>
        <vt:lpwstr>_Toc254277114</vt:lpwstr>
      </vt:variant>
      <vt:variant>
        <vt:i4>1441840</vt:i4>
      </vt:variant>
      <vt:variant>
        <vt:i4>500</vt:i4>
      </vt:variant>
      <vt:variant>
        <vt:i4>0</vt:i4>
      </vt:variant>
      <vt:variant>
        <vt:i4>5</vt:i4>
      </vt:variant>
      <vt:variant>
        <vt:lpwstr/>
      </vt:variant>
      <vt:variant>
        <vt:lpwstr>_Toc254277113</vt:lpwstr>
      </vt:variant>
      <vt:variant>
        <vt:i4>1441840</vt:i4>
      </vt:variant>
      <vt:variant>
        <vt:i4>494</vt:i4>
      </vt:variant>
      <vt:variant>
        <vt:i4>0</vt:i4>
      </vt:variant>
      <vt:variant>
        <vt:i4>5</vt:i4>
      </vt:variant>
      <vt:variant>
        <vt:lpwstr/>
      </vt:variant>
      <vt:variant>
        <vt:lpwstr>_Toc254277112</vt:lpwstr>
      </vt:variant>
      <vt:variant>
        <vt:i4>1441840</vt:i4>
      </vt:variant>
      <vt:variant>
        <vt:i4>488</vt:i4>
      </vt:variant>
      <vt:variant>
        <vt:i4>0</vt:i4>
      </vt:variant>
      <vt:variant>
        <vt:i4>5</vt:i4>
      </vt:variant>
      <vt:variant>
        <vt:lpwstr/>
      </vt:variant>
      <vt:variant>
        <vt:lpwstr>_Toc254277111</vt:lpwstr>
      </vt:variant>
      <vt:variant>
        <vt:i4>1441840</vt:i4>
      </vt:variant>
      <vt:variant>
        <vt:i4>482</vt:i4>
      </vt:variant>
      <vt:variant>
        <vt:i4>0</vt:i4>
      </vt:variant>
      <vt:variant>
        <vt:i4>5</vt:i4>
      </vt:variant>
      <vt:variant>
        <vt:lpwstr/>
      </vt:variant>
      <vt:variant>
        <vt:lpwstr>_Toc254277110</vt:lpwstr>
      </vt:variant>
      <vt:variant>
        <vt:i4>1507376</vt:i4>
      </vt:variant>
      <vt:variant>
        <vt:i4>476</vt:i4>
      </vt:variant>
      <vt:variant>
        <vt:i4>0</vt:i4>
      </vt:variant>
      <vt:variant>
        <vt:i4>5</vt:i4>
      </vt:variant>
      <vt:variant>
        <vt:lpwstr/>
      </vt:variant>
      <vt:variant>
        <vt:lpwstr>_Toc254277109</vt:lpwstr>
      </vt:variant>
      <vt:variant>
        <vt:i4>1507376</vt:i4>
      </vt:variant>
      <vt:variant>
        <vt:i4>470</vt:i4>
      </vt:variant>
      <vt:variant>
        <vt:i4>0</vt:i4>
      </vt:variant>
      <vt:variant>
        <vt:i4>5</vt:i4>
      </vt:variant>
      <vt:variant>
        <vt:lpwstr/>
      </vt:variant>
      <vt:variant>
        <vt:lpwstr>_Toc254277108</vt:lpwstr>
      </vt:variant>
      <vt:variant>
        <vt:i4>1507376</vt:i4>
      </vt:variant>
      <vt:variant>
        <vt:i4>464</vt:i4>
      </vt:variant>
      <vt:variant>
        <vt:i4>0</vt:i4>
      </vt:variant>
      <vt:variant>
        <vt:i4>5</vt:i4>
      </vt:variant>
      <vt:variant>
        <vt:lpwstr/>
      </vt:variant>
      <vt:variant>
        <vt:lpwstr>_Toc254277107</vt:lpwstr>
      </vt:variant>
      <vt:variant>
        <vt:i4>1507376</vt:i4>
      </vt:variant>
      <vt:variant>
        <vt:i4>458</vt:i4>
      </vt:variant>
      <vt:variant>
        <vt:i4>0</vt:i4>
      </vt:variant>
      <vt:variant>
        <vt:i4>5</vt:i4>
      </vt:variant>
      <vt:variant>
        <vt:lpwstr/>
      </vt:variant>
      <vt:variant>
        <vt:lpwstr>_Toc254277106</vt:lpwstr>
      </vt:variant>
      <vt:variant>
        <vt:i4>1507376</vt:i4>
      </vt:variant>
      <vt:variant>
        <vt:i4>452</vt:i4>
      </vt:variant>
      <vt:variant>
        <vt:i4>0</vt:i4>
      </vt:variant>
      <vt:variant>
        <vt:i4>5</vt:i4>
      </vt:variant>
      <vt:variant>
        <vt:lpwstr/>
      </vt:variant>
      <vt:variant>
        <vt:lpwstr>_Toc254277105</vt:lpwstr>
      </vt:variant>
      <vt:variant>
        <vt:i4>1507376</vt:i4>
      </vt:variant>
      <vt:variant>
        <vt:i4>446</vt:i4>
      </vt:variant>
      <vt:variant>
        <vt:i4>0</vt:i4>
      </vt:variant>
      <vt:variant>
        <vt:i4>5</vt:i4>
      </vt:variant>
      <vt:variant>
        <vt:lpwstr/>
      </vt:variant>
      <vt:variant>
        <vt:lpwstr>_Toc254277104</vt:lpwstr>
      </vt:variant>
      <vt:variant>
        <vt:i4>1507376</vt:i4>
      </vt:variant>
      <vt:variant>
        <vt:i4>440</vt:i4>
      </vt:variant>
      <vt:variant>
        <vt:i4>0</vt:i4>
      </vt:variant>
      <vt:variant>
        <vt:i4>5</vt:i4>
      </vt:variant>
      <vt:variant>
        <vt:lpwstr/>
      </vt:variant>
      <vt:variant>
        <vt:lpwstr>_Toc254277103</vt:lpwstr>
      </vt:variant>
      <vt:variant>
        <vt:i4>1507376</vt:i4>
      </vt:variant>
      <vt:variant>
        <vt:i4>434</vt:i4>
      </vt:variant>
      <vt:variant>
        <vt:i4>0</vt:i4>
      </vt:variant>
      <vt:variant>
        <vt:i4>5</vt:i4>
      </vt:variant>
      <vt:variant>
        <vt:lpwstr/>
      </vt:variant>
      <vt:variant>
        <vt:lpwstr>_Toc254277102</vt:lpwstr>
      </vt:variant>
      <vt:variant>
        <vt:i4>1507376</vt:i4>
      </vt:variant>
      <vt:variant>
        <vt:i4>428</vt:i4>
      </vt:variant>
      <vt:variant>
        <vt:i4>0</vt:i4>
      </vt:variant>
      <vt:variant>
        <vt:i4>5</vt:i4>
      </vt:variant>
      <vt:variant>
        <vt:lpwstr/>
      </vt:variant>
      <vt:variant>
        <vt:lpwstr>_Toc254277101</vt:lpwstr>
      </vt:variant>
      <vt:variant>
        <vt:i4>1507376</vt:i4>
      </vt:variant>
      <vt:variant>
        <vt:i4>422</vt:i4>
      </vt:variant>
      <vt:variant>
        <vt:i4>0</vt:i4>
      </vt:variant>
      <vt:variant>
        <vt:i4>5</vt:i4>
      </vt:variant>
      <vt:variant>
        <vt:lpwstr/>
      </vt:variant>
      <vt:variant>
        <vt:lpwstr>_Toc254277100</vt:lpwstr>
      </vt:variant>
      <vt:variant>
        <vt:i4>1966129</vt:i4>
      </vt:variant>
      <vt:variant>
        <vt:i4>416</vt:i4>
      </vt:variant>
      <vt:variant>
        <vt:i4>0</vt:i4>
      </vt:variant>
      <vt:variant>
        <vt:i4>5</vt:i4>
      </vt:variant>
      <vt:variant>
        <vt:lpwstr/>
      </vt:variant>
      <vt:variant>
        <vt:lpwstr>_Toc254277099</vt:lpwstr>
      </vt:variant>
      <vt:variant>
        <vt:i4>1966129</vt:i4>
      </vt:variant>
      <vt:variant>
        <vt:i4>410</vt:i4>
      </vt:variant>
      <vt:variant>
        <vt:i4>0</vt:i4>
      </vt:variant>
      <vt:variant>
        <vt:i4>5</vt:i4>
      </vt:variant>
      <vt:variant>
        <vt:lpwstr/>
      </vt:variant>
      <vt:variant>
        <vt:lpwstr>_Toc254277098</vt:lpwstr>
      </vt:variant>
      <vt:variant>
        <vt:i4>1966129</vt:i4>
      </vt:variant>
      <vt:variant>
        <vt:i4>404</vt:i4>
      </vt:variant>
      <vt:variant>
        <vt:i4>0</vt:i4>
      </vt:variant>
      <vt:variant>
        <vt:i4>5</vt:i4>
      </vt:variant>
      <vt:variant>
        <vt:lpwstr/>
      </vt:variant>
      <vt:variant>
        <vt:lpwstr>_Toc254277097</vt:lpwstr>
      </vt:variant>
      <vt:variant>
        <vt:i4>1966129</vt:i4>
      </vt:variant>
      <vt:variant>
        <vt:i4>398</vt:i4>
      </vt:variant>
      <vt:variant>
        <vt:i4>0</vt:i4>
      </vt:variant>
      <vt:variant>
        <vt:i4>5</vt:i4>
      </vt:variant>
      <vt:variant>
        <vt:lpwstr/>
      </vt:variant>
      <vt:variant>
        <vt:lpwstr>_Toc254277096</vt:lpwstr>
      </vt:variant>
      <vt:variant>
        <vt:i4>1966129</vt:i4>
      </vt:variant>
      <vt:variant>
        <vt:i4>392</vt:i4>
      </vt:variant>
      <vt:variant>
        <vt:i4>0</vt:i4>
      </vt:variant>
      <vt:variant>
        <vt:i4>5</vt:i4>
      </vt:variant>
      <vt:variant>
        <vt:lpwstr/>
      </vt:variant>
      <vt:variant>
        <vt:lpwstr>_Toc254277095</vt:lpwstr>
      </vt:variant>
      <vt:variant>
        <vt:i4>1966129</vt:i4>
      </vt:variant>
      <vt:variant>
        <vt:i4>386</vt:i4>
      </vt:variant>
      <vt:variant>
        <vt:i4>0</vt:i4>
      </vt:variant>
      <vt:variant>
        <vt:i4>5</vt:i4>
      </vt:variant>
      <vt:variant>
        <vt:lpwstr/>
      </vt:variant>
      <vt:variant>
        <vt:lpwstr>_Toc254277094</vt:lpwstr>
      </vt:variant>
      <vt:variant>
        <vt:i4>1966129</vt:i4>
      </vt:variant>
      <vt:variant>
        <vt:i4>380</vt:i4>
      </vt:variant>
      <vt:variant>
        <vt:i4>0</vt:i4>
      </vt:variant>
      <vt:variant>
        <vt:i4>5</vt:i4>
      </vt:variant>
      <vt:variant>
        <vt:lpwstr/>
      </vt:variant>
      <vt:variant>
        <vt:lpwstr>_Toc254277093</vt:lpwstr>
      </vt:variant>
      <vt:variant>
        <vt:i4>1966129</vt:i4>
      </vt:variant>
      <vt:variant>
        <vt:i4>374</vt:i4>
      </vt:variant>
      <vt:variant>
        <vt:i4>0</vt:i4>
      </vt:variant>
      <vt:variant>
        <vt:i4>5</vt:i4>
      </vt:variant>
      <vt:variant>
        <vt:lpwstr/>
      </vt:variant>
      <vt:variant>
        <vt:lpwstr>_Toc254277092</vt:lpwstr>
      </vt:variant>
      <vt:variant>
        <vt:i4>1966129</vt:i4>
      </vt:variant>
      <vt:variant>
        <vt:i4>368</vt:i4>
      </vt:variant>
      <vt:variant>
        <vt:i4>0</vt:i4>
      </vt:variant>
      <vt:variant>
        <vt:i4>5</vt:i4>
      </vt:variant>
      <vt:variant>
        <vt:lpwstr/>
      </vt:variant>
      <vt:variant>
        <vt:lpwstr>_Toc254277091</vt:lpwstr>
      </vt:variant>
      <vt:variant>
        <vt:i4>1966129</vt:i4>
      </vt:variant>
      <vt:variant>
        <vt:i4>362</vt:i4>
      </vt:variant>
      <vt:variant>
        <vt:i4>0</vt:i4>
      </vt:variant>
      <vt:variant>
        <vt:i4>5</vt:i4>
      </vt:variant>
      <vt:variant>
        <vt:lpwstr/>
      </vt:variant>
      <vt:variant>
        <vt:lpwstr>_Toc254277090</vt:lpwstr>
      </vt:variant>
      <vt:variant>
        <vt:i4>2031665</vt:i4>
      </vt:variant>
      <vt:variant>
        <vt:i4>356</vt:i4>
      </vt:variant>
      <vt:variant>
        <vt:i4>0</vt:i4>
      </vt:variant>
      <vt:variant>
        <vt:i4>5</vt:i4>
      </vt:variant>
      <vt:variant>
        <vt:lpwstr/>
      </vt:variant>
      <vt:variant>
        <vt:lpwstr>_Toc254277089</vt:lpwstr>
      </vt:variant>
      <vt:variant>
        <vt:i4>2031665</vt:i4>
      </vt:variant>
      <vt:variant>
        <vt:i4>350</vt:i4>
      </vt:variant>
      <vt:variant>
        <vt:i4>0</vt:i4>
      </vt:variant>
      <vt:variant>
        <vt:i4>5</vt:i4>
      </vt:variant>
      <vt:variant>
        <vt:lpwstr/>
      </vt:variant>
      <vt:variant>
        <vt:lpwstr>_Toc254277088</vt:lpwstr>
      </vt:variant>
      <vt:variant>
        <vt:i4>2031665</vt:i4>
      </vt:variant>
      <vt:variant>
        <vt:i4>344</vt:i4>
      </vt:variant>
      <vt:variant>
        <vt:i4>0</vt:i4>
      </vt:variant>
      <vt:variant>
        <vt:i4>5</vt:i4>
      </vt:variant>
      <vt:variant>
        <vt:lpwstr/>
      </vt:variant>
      <vt:variant>
        <vt:lpwstr>_Toc254277087</vt:lpwstr>
      </vt:variant>
      <vt:variant>
        <vt:i4>2031665</vt:i4>
      </vt:variant>
      <vt:variant>
        <vt:i4>338</vt:i4>
      </vt:variant>
      <vt:variant>
        <vt:i4>0</vt:i4>
      </vt:variant>
      <vt:variant>
        <vt:i4>5</vt:i4>
      </vt:variant>
      <vt:variant>
        <vt:lpwstr/>
      </vt:variant>
      <vt:variant>
        <vt:lpwstr>_Toc254277086</vt:lpwstr>
      </vt:variant>
      <vt:variant>
        <vt:i4>2031665</vt:i4>
      </vt:variant>
      <vt:variant>
        <vt:i4>332</vt:i4>
      </vt:variant>
      <vt:variant>
        <vt:i4>0</vt:i4>
      </vt:variant>
      <vt:variant>
        <vt:i4>5</vt:i4>
      </vt:variant>
      <vt:variant>
        <vt:lpwstr/>
      </vt:variant>
      <vt:variant>
        <vt:lpwstr>_Toc254277085</vt:lpwstr>
      </vt:variant>
      <vt:variant>
        <vt:i4>2031665</vt:i4>
      </vt:variant>
      <vt:variant>
        <vt:i4>326</vt:i4>
      </vt:variant>
      <vt:variant>
        <vt:i4>0</vt:i4>
      </vt:variant>
      <vt:variant>
        <vt:i4>5</vt:i4>
      </vt:variant>
      <vt:variant>
        <vt:lpwstr/>
      </vt:variant>
      <vt:variant>
        <vt:lpwstr>_Toc254277084</vt:lpwstr>
      </vt:variant>
      <vt:variant>
        <vt:i4>2031665</vt:i4>
      </vt:variant>
      <vt:variant>
        <vt:i4>320</vt:i4>
      </vt:variant>
      <vt:variant>
        <vt:i4>0</vt:i4>
      </vt:variant>
      <vt:variant>
        <vt:i4>5</vt:i4>
      </vt:variant>
      <vt:variant>
        <vt:lpwstr/>
      </vt:variant>
      <vt:variant>
        <vt:lpwstr>_Toc254277083</vt:lpwstr>
      </vt:variant>
      <vt:variant>
        <vt:i4>2031665</vt:i4>
      </vt:variant>
      <vt:variant>
        <vt:i4>314</vt:i4>
      </vt:variant>
      <vt:variant>
        <vt:i4>0</vt:i4>
      </vt:variant>
      <vt:variant>
        <vt:i4>5</vt:i4>
      </vt:variant>
      <vt:variant>
        <vt:lpwstr/>
      </vt:variant>
      <vt:variant>
        <vt:lpwstr>_Toc254277082</vt:lpwstr>
      </vt:variant>
      <vt:variant>
        <vt:i4>2031665</vt:i4>
      </vt:variant>
      <vt:variant>
        <vt:i4>308</vt:i4>
      </vt:variant>
      <vt:variant>
        <vt:i4>0</vt:i4>
      </vt:variant>
      <vt:variant>
        <vt:i4>5</vt:i4>
      </vt:variant>
      <vt:variant>
        <vt:lpwstr/>
      </vt:variant>
      <vt:variant>
        <vt:lpwstr>_Toc254277081</vt:lpwstr>
      </vt:variant>
      <vt:variant>
        <vt:i4>2031665</vt:i4>
      </vt:variant>
      <vt:variant>
        <vt:i4>302</vt:i4>
      </vt:variant>
      <vt:variant>
        <vt:i4>0</vt:i4>
      </vt:variant>
      <vt:variant>
        <vt:i4>5</vt:i4>
      </vt:variant>
      <vt:variant>
        <vt:lpwstr/>
      </vt:variant>
      <vt:variant>
        <vt:lpwstr>_Toc254277080</vt:lpwstr>
      </vt:variant>
      <vt:variant>
        <vt:i4>1048625</vt:i4>
      </vt:variant>
      <vt:variant>
        <vt:i4>296</vt:i4>
      </vt:variant>
      <vt:variant>
        <vt:i4>0</vt:i4>
      </vt:variant>
      <vt:variant>
        <vt:i4>5</vt:i4>
      </vt:variant>
      <vt:variant>
        <vt:lpwstr/>
      </vt:variant>
      <vt:variant>
        <vt:lpwstr>_Toc254277079</vt:lpwstr>
      </vt:variant>
      <vt:variant>
        <vt:i4>1048625</vt:i4>
      </vt:variant>
      <vt:variant>
        <vt:i4>290</vt:i4>
      </vt:variant>
      <vt:variant>
        <vt:i4>0</vt:i4>
      </vt:variant>
      <vt:variant>
        <vt:i4>5</vt:i4>
      </vt:variant>
      <vt:variant>
        <vt:lpwstr/>
      </vt:variant>
      <vt:variant>
        <vt:lpwstr>_Toc254277078</vt:lpwstr>
      </vt:variant>
      <vt:variant>
        <vt:i4>1048625</vt:i4>
      </vt:variant>
      <vt:variant>
        <vt:i4>284</vt:i4>
      </vt:variant>
      <vt:variant>
        <vt:i4>0</vt:i4>
      </vt:variant>
      <vt:variant>
        <vt:i4>5</vt:i4>
      </vt:variant>
      <vt:variant>
        <vt:lpwstr/>
      </vt:variant>
      <vt:variant>
        <vt:lpwstr>_Toc254277077</vt:lpwstr>
      </vt:variant>
      <vt:variant>
        <vt:i4>1048625</vt:i4>
      </vt:variant>
      <vt:variant>
        <vt:i4>278</vt:i4>
      </vt:variant>
      <vt:variant>
        <vt:i4>0</vt:i4>
      </vt:variant>
      <vt:variant>
        <vt:i4>5</vt:i4>
      </vt:variant>
      <vt:variant>
        <vt:lpwstr/>
      </vt:variant>
      <vt:variant>
        <vt:lpwstr>_Toc254277076</vt:lpwstr>
      </vt:variant>
      <vt:variant>
        <vt:i4>1048625</vt:i4>
      </vt:variant>
      <vt:variant>
        <vt:i4>272</vt:i4>
      </vt:variant>
      <vt:variant>
        <vt:i4>0</vt:i4>
      </vt:variant>
      <vt:variant>
        <vt:i4>5</vt:i4>
      </vt:variant>
      <vt:variant>
        <vt:lpwstr/>
      </vt:variant>
      <vt:variant>
        <vt:lpwstr>_Toc254277075</vt:lpwstr>
      </vt:variant>
      <vt:variant>
        <vt:i4>1048625</vt:i4>
      </vt:variant>
      <vt:variant>
        <vt:i4>266</vt:i4>
      </vt:variant>
      <vt:variant>
        <vt:i4>0</vt:i4>
      </vt:variant>
      <vt:variant>
        <vt:i4>5</vt:i4>
      </vt:variant>
      <vt:variant>
        <vt:lpwstr/>
      </vt:variant>
      <vt:variant>
        <vt:lpwstr>_Toc254277074</vt:lpwstr>
      </vt:variant>
      <vt:variant>
        <vt:i4>1048625</vt:i4>
      </vt:variant>
      <vt:variant>
        <vt:i4>260</vt:i4>
      </vt:variant>
      <vt:variant>
        <vt:i4>0</vt:i4>
      </vt:variant>
      <vt:variant>
        <vt:i4>5</vt:i4>
      </vt:variant>
      <vt:variant>
        <vt:lpwstr/>
      </vt:variant>
      <vt:variant>
        <vt:lpwstr>_Toc254277073</vt:lpwstr>
      </vt:variant>
      <vt:variant>
        <vt:i4>1048625</vt:i4>
      </vt:variant>
      <vt:variant>
        <vt:i4>254</vt:i4>
      </vt:variant>
      <vt:variant>
        <vt:i4>0</vt:i4>
      </vt:variant>
      <vt:variant>
        <vt:i4>5</vt:i4>
      </vt:variant>
      <vt:variant>
        <vt:lpwstr/>
      </vt:variant>
      <vt:variant>
        <vt:lpwstr>_Toc254277072</vt:lpwstr>
      </vt:variant>
      <vt:variant>
        <vt:i4>1048625</vt:i4>
      </vt:variant>
      <vt:variant>
        <vt:i4>248</vt:i4>
      </vt:variant>
      <vt:variant>
        <vt:i4>0</vt:i4>
      </vt:variant>
      <vt:variant>
        <vt:i4>5</vt:i4>
      </vt:variant>
      <vt:variant>
        <vt:lpwstr/>
      </vt:variant>
      <vt:variant>
        <vt:lpwstr>_Toc254277071</vt:lpwstr>
      </vt:variant>
      <vt:variant>
        <vt:i4>1048625</vt:i4>
      </vt:variant>
      <vt:variant>
        <vt:i4>242</vt:i4>
      </vt:variant>
      <vt:variant>
        <vt:i4>0</vt:i4>
      </vt:variant>
      <vt:variant>
        <vt:i4>5</vt:i4>
      </vt:variant>
      <vt:variant>
        <vt:lpwstr/>
      </vt:variant>
      <vt:variant>
        <vt:lpwstr>_Toc254277070</vt:lpwstr>
      </vt:variant>
      <vt:variant>
        <vt:i4>1114161</vt:i4>
      </vt:variant>
      <vt:variant>
        <vt:i4>236</vt:i4>
      </vt:variant>
      <vt:variant>
        <vt:i4>0</vt:i4>
      </vt:variant>
      <vt:variant>
        <vt:i4>5</vt:i4>
      </vt:variant>
      <vt:variant>
        <vt:lpwstr/>
      </vt:variant>
      <vt:variant>
        <vt:lpwstr>_Toc254277069</vt:lpwstr>
      </vt:variant>
      <vt:variant>
        <vt:i4>1114161</vt:i4>
      </vt:variant>
      <vt:variant>
        <vt:i4>230</vt:i4>
      </vt:variant>
      <vt:variant>
        <vt:i4>0</vt:i4>
      </vt:variant>
      <vt:variant>
        <vt:i4>5</vt:i4>
      </vt:variant>
      <vt:variant>
        <vt:lpwstr/>
      </vt:variant>
      <vt:variant>
        <vt:lpwstr>_Toc254277068</vt:lpwstr>
      </vt:variant>
      <vt:variant>
        <vt:i4>1114161</vt:i4>
      </vt:variant>
      <vt:variant>
        <vt:i4>224</vt:i4>
      </vt:variant>
      <vt:variant>
        <vt:i4>0</vt:i4>
      </vt:variant>
      <vt:variant>
        <vt:i4>5</vt:i4>
      </vt:variant>
      <vt:variant>
        <vt:lpwstr/>
      </vt:variant>
      <vt:variant>
        <vt:lpwstr>_Toc254277067</vt:lpwstr>
      </vt:variant>
      <vt:variant>
        <vt:i4>1114161</vt:i4>
      </vt:variant>
      <vt:variant>
        <vt:i4>218</vt:i4>
      </vt:variant>
      <vt:variant>
        <vt:i4>0</vt:i4>
      </vt:variant>
      <vt:variant>
        <vt:i4>5</vt:i4>
      </vt:variant>
      <vt:variant>
        <vt:lpwstr/>
      </vt:variant>
      <vt:variant>
        <vt:lpwstr>_Toc254277066</vt:lpwstr>
      </vt:variant>
      <vt:variant>
        <vt:i4>1114161</vt:i4>
      </vt:variant>
      <vt:variant>
        <vt:i4>212</vt:i4>
      </vt:variant>
      <vt:variant>
        <vt:i4>0</vt:i4>
      </vt:variant>
      <vt:variant>
        <vt:i4>5</vt:i4>
      </vt:variant>
      <vt:variant>
        <vt:lpwstr/>
      </vt:variant>
      <vt:variant>
        <vt:lpwstr>_Toc254277065</vt:lpwstr>
      </vt:variant>
      <vt:variant>
        <vt:i4>1114161</vt:i4>
      </vt:variant>
      <vt:variant>
        <vt:i4>206</vt:i4>
      </vt:variant>
      <vt:variant>
        <vt:i4>0</vt:i4>
      </vt:variant>
      <vt:variant>
        <vt:i4>5</vt:i4>
      </vt:variant>
      <vt:variant>
        <vt:lpwstr/>
      </vt:variant>
      <vt:variant>
        <vt:lpwstr>_Toc254277064</vt:lpwstr>
      </vt:variant>
      <vt:variant>
        <vt:i4>1114161</vt:i4>
      </vt:variant>
      <vt:variant>
        <vt:i4>200</vt:i4>
      </vt:variant>
      <vt:variant>
        <vt:i4>0</vt:i4>
      </vt:variant>
      <vt:variant>
        <vt:i4>5</vt:i4>
      </vt:variant>
      <vt:variant>
        <vt:lpwstr/>
      </vt:variant>
      <vt:variant>
        <vt:lpwstr>_Toc254277063</vt:lpwstr>
      </vt:variant>
      <vt:variant>
        <vt:i4>1114161</vt:i4>
      </vt:variant>
      <vt:variant>
        <vt:i4>194</vt:i4>
      </vt:variant>
      <vt:variant>
        <vt:i4>0</vt:i4>
      </vt:variant>
      <vt:variant>
        <vt:i4>5</vt:i4>
      </vt:variant>
      <vt:variant>
        <vt:lpwstr/>
      </vt:variant>
      <vt:variant>
        <vt:lpwstr>_Toc254277062</vt:lpwstr>
      </vt:variant>
      <vt:variant>
        <vt:i4>1114161</vt:i4>
      </vt:variant>
      <vt:variant>
        <vt:i4>188</vt:i4>
      </vt:variant>
      <vt:variant>
        <vt:i4>0</vt:i4>
      </vt:variant>
      <vt:variant>
        <vt:i4>5</vt:i4>
      </vt:variant>
      <vt:variant>
        <vt:lpwstr/>
      </vt:variant>
      <vt:variant>
        <vt:lpwstr>_Toc254277061</vt:lpwstr>
      </vt:variant>
      <vt:variant>
        <vt:i4>1114161</vt:i4>
      </vt:variant>
      <vt:variant>
        <vt:i4>182</vt:i4>
      </vt:variant>
      <vt:variant>
        <vt:i4>0</vt:i4>
      </vt:variant>
      <vt:variant>
        <vt:i4>5</vt:i4>
      </vt:variant>
      <vt:variant>
        <vt:lpwstr/>
      </vt:variant>
      <vt:variant>
        <vt:lpwstr>_Toc254277060</vt:lpwstr>
      </vt:variant>
      <vt:variant>
        <vt:i4>1179697</vt:i4>
      </vt:variant>
      <vt:variant>
        <vt:i4>176</vt:i4>
      </vt:variant>
      <vt:variant>
        <vt:i4>0</vt:i4>
      </vt:variant>
      <vt:variant>
        <vt:i4>5</vt:i4>
      </vt:variant>
      <vt:variant>
        <vt:lpwstr/>
      </vt:variant>
      <vt:variant>
        <vt:lpwstr>_Toc254277059</vt:lpwstr>
      </vt:variant>
      <vt:variant>
        <vt:i4>1179697</vt:i4>
      </vt:variant>
      <vt:variant>
        <vt:i4>170</vt:i4>
      </vt:variant>
      <vt:variant>
        <vt:i4>0</vt:i4>
      </vt:variant>
      <vt:variant>
        <vt:i4>5</vt:i4>
      </vt:variant>
      <vt:variant>
        <vt:lpwstr/>
      </vt:variant>
      <vt:variant>
        <vt:lpwstr>_Toc254277058</vt:lpwstr>
      </vt:variant>
      <vt:variant>
        <vt:i4>1179697</vt:i4>
      </vt:variant>
      <vt:variant>
        <vt:i4>164</vt:i4>
      </vt:variant>
      <vt:variant>
        <vt:i4>0</vt:i4>
      </vt:variant>
      <vt:variant>
        <vt:i4>5</vt:i4>
      </vt:variant>
      <vt:variant>
        <vt:lpwstr/>
      </vt:variant>
      <vt:variant>
        <vt:lpwstr>_Toc254277057</vt:lpwstr>
      </vt:variant>
      <vt:variant>
        <vt:i4>1179697</vt:i4>
      </vt:variant>
      <vt:variant>
        <vt:i4>158</vt:i4>
      </vt:variant>
      <vt:variant>
        <vt:i4>0</vt:i4>
      </vt:variant>
      <vt:variant>
        <vt:i4>5</vt:i4>
      </vt:variant>
      <vt:variant>
        <vt:lpwstr/>
      </vt:variant>
      <vt:variant>
        <vt:lpwstr>_Toc254277056</vt:lpwstr>
      </vt:variant>
      <vt:variant>
        <vt:i4>1179697</vt:i4>
      </vt:variant>
      <vt:variant>
        <vt:i4>152</vt:i4>
      </vt:variant>
      <vt:variant>
        <vt:i4>0</vt:i4>
      </vt:variant>
      <vt:variant>
        <vt:i4>5</vt:i4>
      </vt:variant>
      <vt:variant>
        <vt:lpwstr/>
      </vt:variant>
      <vt:variant>
        <vt:lpwstr>_Toc254277055</vt:lpwstr>
      </vt:variant>
      <vt:variant>
        <vt:i4>1179697</vt:i4>
      </vt:variant>
      <vt:variant>
        <vt:i4>146</vt:i4>
      </vt:variant>
      <vt:variant>
        <vt:i4>0</vt:i4>
      </vt:variant>
      <vt:variant>
        <vt:i4>5</vt:i4>
      </vt:variant>
      <vt:variant>
        <vt:lpwstr/>
      </vt:variant>
      <vt:variant>
        <vt:lpwstr>_Toc254277054</vt:lpwstr>
      </vt:variant>
      <vt:variant>
        <vt:i4>1179697</vt:i4>
      </vt:variant>
      <vt:variant>
        <vt:i4>140</vt:i4>
      </vt:variant>
      <vt:variant>
        <vt:i4>0</vt:i4>
      </vt:variant>
      <vt:variant>
        <vt:i4>5</vt:i4>
      </vt:variant>
      <vt:variant>
        <vt:lpwstr/>
      </vt:variant>
      <vt:variant>
        <vt:lpwstr>_Toc254277053</vt:lpwstr>
      </vt:variant>
      <vt:variant>
        <vt:i4>1179697</vt:i4>
      </vt:variant>
      <vt:variant>
        <vt:i4>134</vt:i4>
      </vt:variant>
      <vt:variant>
        <vt:i4>0</vt:i4>
      </vt:variant>
      <vt:variant>
        <vt:i4>5</vt:i4>
      </vt:variant>
      <vt:variant>
        <vt:lpwstr/>
      </vt:variant>
      <vt:variant>
        <vt:lpwstr>_Toc254277052</vt:lpwstr>
      </vt:variant>
      <vt:variant>
        <vt:i4>1179697</vt:i4>
      </vt:variant>
      <vt:variant>
        <vt:i4>128</vt:i4>
      </vt:variant>
      <vt:variant>
        <vt:i4>0</vt:i4>
      </vt:variant>
      <vt:variant>
        <vt:i4>5</vt:i4>
      </vt:variant>
      <vt:variant>
        <vt:lpwstr/>
      </vt:variant>
      <vt:variant>
        <vt:lpwstr>_Toc254277051</vt:lpwstr>
      </vt:variant>
      <vt:variant>
        <vt:i4>1179697</vt:i4>
      </vt:variant>
      <vt:variant>
        <vt:i4>122</vt:i4>
      </vt:variant>
      <vt:variant>
        <vt:i4>0</vt:i4>
      </vt:variant>
      <vt:variant>
        <vt:i4>5</vt:i4>
      </vt:variant>
      <vt:variant>
        <vt:lpwstr/>
      </vt:variant>
      <vt:variant>
        <vt:lpwstr>_Toc254277050</vt:lpwstr>
      </vt:variant>
      <vt:variant>
        <vt:i4>1245233</vt:i4>
      </vt:variant>
      <vt:variant>
        <vt:i4>116</vt:i4>
      </vt:variant>
      <vt:variant>
        <vt:i4>0</vt:i4>
      </vt:variant>
      <vt:variant>
        <vt:i4>5</vt:i4>
      </vt:variant>
      <vt:variant>
        <vt:lpwstr/>
      </vt:variant>
      <vt:variant>
        <vt:lpwstr>_Toc254277049</vt:lpwstr>
      </vt:variant>
      <vt:variant>
        <vt:i4>1245233</vt:i4>
      </vt:variant>
      <vt:variant>
        <vt:i4>110</vt:i4>
      </vt:variant>
      <vt:variant>
        <vt:i4>0</vt:i4>
      </vt:variant>
      <vt:variant>
        <vt:i4>5</vt:i4>
      </vt:variant>
      <vt:variant>
        <vt:lpwstr/>
      </vt:variant>
      <vt:variant>
        <vt:lpwstr>_Toc254277048</vt:lpwstr>
      </vt:variant>
      <vt:variant>
        <vt:i4>1245233</vt:i4>
      </vt:variant>
      <vt:variant>
        <vt:i4>104</vt:i4>
      </vt:variant>
      <vt:variant>
        <vt:i4>0</vt:i4>
      </vt:variant>
      <vt:variant>
        <vt:i4>5</vt:i4>
      </vt:variant>
      <vt:variant>
        <vt:lpwstr/>
      </vt:variant>
      <vt:variant>
        <vt:lpwstr>_Toc254277047</vt:lpwstr>
      </vt:variant>
      <vt:variant>
        <vt:i4>1245233</vt:i4>
      </vt:variant>
      <vt:variant>
        <vt:i4>98</vt:i4>
      </vt:variant>
      <vt:variant>
        <vt:i4>0</vt:i4>
      </vt:variant>
      <vt:variant>
        <vt:i4>5</vt:i4>
      </vt:variant>
      <vt:variant>
        <vt:lpwstr/>
      </vt:variant>
      <vt:variant>
        <vt:lpwstr>_Toc254277046</vt:lpwstr>
      </vt:variant>
      <vt:variant>
        <vt:i4>1245233</vt:i4>
      </vt:variant>
      <vt:variant>
        <vt:i4>92</vt:i4>
      </vt:variant>
      <vt:variant>
        <vt:i4>0</vt:i4>
      </vt:variant>
      <vt:variant>
        <vt:i4>5</vt:i4>
      </vt:variant>
      <vt:variant>
        <vt:lpwstr/>
      </vt:variant>
      <vt:variant>
        <vt:lpwstr>_Toc254277045</vt:lpwstr>
      </vt:variant>
      <vt:variant>
        <vt:i4>1245233</vt:i4>
      </vt:variant>
      <vt:variant>
        <vt:i4>86</vt:i4>
      </vt:variant>
      <vt:variant>
        <vt:i4>0</vt:i4>
      </vt:variant>
      <vt:variant>
        <vt:i4>5</vt:i4>
      </vt:variant>
      <vt:variant>
        <vt:lpwstr/>
      </vt:variant>
      <vt:variant>
        <vt:lpwstr>_Toc254277044</vt:lpwstr>
      </vt:variant>
      <vt:variant>
        <vt:i4>1245233</vt:i4>
      </vt:variant>
      <vt:variant>
        <vt:i4>80</vt:i4>
      </vt:variant>
      <vt:variant>
        <vt:i4>0</vt:i4>
      </vt:variant>
      <vt:variant>
        <vt:i4>5</vt:i4>
      </vt:variant>
      <vt:variant>
        <vt:lpwstr/>
      </vt:variant>
      <vt:variant>
        <vt:lpwstr>_Toc254277043</vt:lpwstr>
      </vt:variant>
      <vt:variant>
        <vt:i4>1245233</vt:i4>
      </vt:variant>
      <vt:variant>
        <vt:i4>74</vt:i4>
      </vt:variant>
      <vt:variant>
        <vt:i4>0</vt:i4>
      </vt:variant>
      <vt:variant>
        <vt:i4>5</vt:i4>
      </vt:variant>
      <vt:variant>
        <vt:lpwstr/>
      </vt:variant>
      <vt:variant>
        <vt:lpwstr>_Toc254277042</vt:lpwstr>
      </vt:variant>
      <vt:variant>
        <vt:i4>1245233</vt:i4>
      </vt:variant>
      <vt:variant>
        <vt:i4>68</vt:i4>
      </vt:variant>
      <vt:variant>
        <vt:i4>0</vt:i4>
      </vt:variant>
      <vt:variant>
        <vt:i4>5</vt:i4>
      </vt:variant>
      <vt:variant>
        <vt:lpwstr/>
      </vt:variant>
      <vt:variant>
        <vt:lpwstr>_Toc254277041</vt:lpwstr>
      </vt:variant>
      <vt:variant>
        <vt:i4>1245233</vt:i4>
      </vt:variant>
      <vt:variant>
        <vt:i4>62</vt:i4>
      </vt:variant>
      <vt:variant>
        <vt:i4>0</vt:i4>
      </vt:variant>
      <vt:variant>
        <vt:i4>5</vt:i4>
      </vt:variant>
      <vt:variant>
        <vt:lpwstr/>
      </vt:variant>
      <vt:variant>
        <vt:lpwstr>_Toc254277040</vt:lpwstr>
      </vt:variant>
      <vt:variant>
        <vt:i4>1310769</vt:i4>
      </vt:variant>
      <vt:variant>
        <vt:i4>56</vt:i4>
      </vt:variant>
      <vt:variant>
        <vt:i4>0</vt:i4>
      </vt:variant>
      <vt:variant>
        <vt:i4>5</vt:i4>
      </vt:variant>
      <vt:variant>
        <vt:lpwstr/>
      </vt:variant>
      <vt:variant>
        <vt:lpwstr>_Toc254277039</vt:lpwstr>
      </vt:variant>
      <vt:variant>
        <vt:i4>1310769</vt:i4>
      </vt:variant>
      <vt:variant>
        <vt:i4>50</vt:i4>
      </vt:variant>
      <vt:variant>
        <vt:i4>0</vt:i4>
      </vt:variant>
      <vt:variant>
        <vt:i4>5</vt:i4>
      </vt:variant>
      <vt:variant>
        <vt:lpwstr/>
      </vt:variant>
      <vt:variant>
        <vt:lpwstr>_Toc254277038</vt:lpwstr>
      </vt:variant>
      <vt:variant>
        <vt:i4>1310769</vt:i4>
      </vt:variant>
      <vt:variant>
        <vt:i4>44</vt:i4>
      </vt:variant>
      <vt:variant>
        <vt:i4>0</vt:i4>
      </vt:variant>
      <vt:variant>
        <vt:i4>5</vt:i4>
      </vt:variant>
      <vt:variant>
        <vt:lpwstr/>
      </vt:variant>
      <vt:variant>
        <vt:lpwstr>_Toc254277037</vt:lpwstr>
      </vt:variant>
      <vt:variant>
        <vt:i4>1310769</vt:i4>
      </vt:variant>
      <vt:variant>
        <vt:i4>38</vt:i4>
      </vt:variant>
      <vt:variant>
        <vt:i4>0</vt:i4>
      </vt:variant>
      <vt:variant>
        <vt:i4>5</vt:i4>
      </vt:variant>
      <vt:variant>
        <vt:lpwstr/>
      </vt:variant>
      <vt:variant>
        <vt:lpwstr>_Toc254277036</vt:lpwstr>
      </vt:variant>
      <vt:variant>
        <vt:i4>1310769</vt:i4>
      </vt:variant>
      <vt:variant>
        <vt:i4>32</vt:i4>
      </vt:variant>
      <vt:variant>
        <vt:i4>0</vt:i4>
      </vt:variant>
      <vt:variant>
        <vt:i4>5</vt:i4>
      </vt:variant>
      <vt:variant>
        <vt:lpwstr/>
      </vt:variant>
      <vt:variant>
        <vt:lpwstr>_Toc254277035</vt:lpwstr>
      </vt:variant>
      <vt:variant>
        <vt:i4>1310769</vt:i4>
      </vt:variant>
      <vt:variant>
        <vt:i4>26</vt:i4>
      </vt:variant>
      <vt:variant>
        <vt:i4>0</vt:i4>
      </vt:variant>
      <vt:variant>
        <vt:i4>5</vt:i4>
      </vt:variant>
      <vt:variant>
        <vt:lpwstr/>
      </vt:variant>
      <vt:variant>
        <vt:lpwstr>_Toc254277034</vt:lpwstr>
      </vt:variant>
      <vt:variant>
        <vt:i4>1310769</vt:i4>
      </vt:variant>
      <vt:variant>
        <vt:i4>20</vt:i4>
      </vt:variant>
      <vt:variant>
        <vt:i4>0</vt:i4>
      </vt:variant>
      <vt:variant>
        <vt:i4>5</vt:i4>
      </vt:variant>
      <vt:variant>
        <vt:lpwstr/>
      </vt:variant>
      <vt:variant>
        <vt:lpwstr>_Toc254277033</vt:lpwstr>
      </vt:variant>
      <vt:variant>
        <vt:i4>1310769</vt:i4>
      </vt:variant>
      <vt:variant>
        <vt:i4>14</vt:i4>
      </vt:variant>
      <vt:variant>
        <vt:i4>0</vt:i4>
      </vt:variant>
      <vt:variant>
        <vt:i4>5</vt:i4>
      </vt:variant>
      <vt:variant>
        <vt:lpwstr/>
      </vt:variant>
      <vt:variant>
        <vt:lpwstr>_Toc254277032</vt:lpwstr>
      </vt:variant>
      <vt:variant>
        <vt:i4>1310769</vt:i4>
      </vt:variant>
      <vt:variant>
        <vt:i4>8</vt:i4>
      </vt:variant>
      <vt:variant>
        <vt:i4>0</vt:i4>
      </vt:variant>
      <vt:variant>
        <vt:i4>5</vt:i4>
      </vt:variant>
      <vt:variant>
        <vt:lpwstr/>
      </vt:variant>
      <vt:variant>
        <vt:lpwstr>_Toc254277031</vt:lpwstr>
      </vt:variant>
      <vt:variant>
        <vt:i4>1310769</vt:i4>
      </vt:variant>
      <vt:variant>
        <vt:i4>2</vt:i4>
      </vt:variant>
      <vt:variant>
        <vt:i4>0</vt:i4>
      </vt:variant>
      <vt:variant>
        <vt:i4>5</vt:i4>
      </vt:variant>
      <vt:variant>
        <vt:lpwstr/>
      </vt:variant>
      <vt:variant>
        <vt:lpwstr>_Toc254277030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Retirement Accounts (CPE version)</dc:title>
  <dc:creator>Paul J. Winn CLU ChFC</dc:creator>
  <cp:lastModifiedBy>Sean Cox</cp:lastModifiedBy>
  <cp:revision>2</cp:revision>
  <cp:lastPrinted>2010-02-15T14:05:00Z</cp:lastPrinted>
  <dcterms:created xsi:type="dcterms:W3CDTF">2023-01-23T23:23:00Z</dcterms:created>
  <dcterms:modified xsi:type="dcterms:W3CDTF">2023-01-23T23:23:00Z</dcterms:modified>
</cp:coreProperties>
</file>